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6035C" w:rsidP="00E6035C" w:rsidRDefault="00E6035C" w14:paraId="47376902" w14:textId="77777777" w14:noSpellErr="1">
      <w:r>
        <w:rPr>
          <w:noProof/>
        </w:rPr>
        <w:drawing>
          <wp:anchor distT="0" distB="0" distL="114300" distR="114300" simplePos="0" relativeHeight="251659264" behindDoc="0" locked="0" layoutInCell="1" allowOverlap="1" wp14:anchorId="62638A77" wp14:editId="1FC3E0E1">
            <wp:simplePos x="0" y="0"/>
            <wp:positionH relativeFrom="margin">
              <wp:align>left</wp:align>
            </wp:positionH>
            <wp:positionV relativeFrom="paragraph">
              <wp:posOffset>0</wp:posOffset>
            </wp:positionV>
            <wp:extent cx="5735394" cy="1733550"/>
            <wp:effectExtent l="0" t="0" r="9525" b="0"/>
            <wp:wrapSquare wrapText="bothSides"/>
            <wp:docPr id="1"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5735394"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BE542B" w:rsidR="00E6035C" w:rsidP="7B9882E5" w:rsidRDefault="00E6035C" w14:paraId="33C44679" w14:textId="7C74A91D">
      <w:pPr>
        <w:pStyle w:val="Title"/>
        <w:rPr>
          <w:rFonts w:ascii="Calibri" w:hAnsi="Calibri" w:cs="Calibri" w:asciiTheme="minorAscii" w:hAnsiTheme="minorAscii" w:cstheme="minorAscii"/>
          <w:b w:val="1"/>
          <w:bCs w:val="1"/>
          <w:color w:val="auto"/>
          <w:sz w:val="56"/>
          <w:szCs w:val="56"/>
        </w:rPr>
      </w:pPr>
      <w:r>
        <w:rPr>
          <w:b/>
          <w:bCs/>
          <w:noProof/>
          <w:sz w:val="48"/>
          <w:szCs w:val="48"/>
        </w:rPr>
        <mc:AlternateContent>
          <mc:Choice Requires="wps">
            <w:drawing>
              <wp:anchor distT="0" distB="0" distL="114300" distR="114300" simplePos="0" relativeHeight="251660288" behindDoc="1" locked="0" layoutInCell="1" allowOverlap="1" wp14:anchorId="3896C7EB" wp14:editId="0B805459">
                <wp:simplePos x="0" y="0"/>
                <wp:positionH relativeFrom="margin">
                  <wp:align>center</wp:align>
                </wp:positionH>
                <wp:positionV relativeFrom="paragraph">
                  <wp:posOffset>2343150</wp:posOffset>
                </wp:positionV>
                <wp:extent cx="3895725" cy="590550"/>
                <wp:effectExtent l="0" t="0" r="9525" b="0"/>
                <wp:wrapTopAndBottom/>
                <wp:docPr id="4" name="Text Box 4"/>
                <wp:cNvGraphicFramePr/>
                <a:graphic xmlns:a="http://schemas.openxmlformats.org/drawingml/2006/main">
                  <a:graphicData uri="http://schemas.microsoft.com/office/word/2010/wordprocessingShape">
                    <wps:wsp>
                      <wps:cNvSpPr txBox="1"/>
                      <wps:spPr>
                        <a:xfrm>
                          <a:off x="0" y="0"/>
                          <a:ext cx="3895725" cy="590550"/>
                        </a:xfrm>
                        <a:prstGeom prst="rect">
                          <a:avLst/>
                        </a:prstGeom>
                        <a:solidFill>
                          <a:schemeClr val="lt1"/>
                        </a:solidFill>
                        <a:ln w="6350">
                          <a:noFill/>
                        </a:ln>
                      </wps:spPr>
                      <wps:txbx>
                        <w:txbxContent>
                          <w:p w:rsidRPr="007245E3" w:rsidR="00E6035C" w:rsidP="00E6035C" w:rsidRDefault="00E6035C" w14:paraId="4DF27740" w14:textId="77777777">
                            <w:pPr>
                              <w:pStyle w:val="Title"/>
                              <w:rPr>
                                <w:rFonts w:asciiTheme="minorHAnsi" w:hAnsiTheme="minorHAnsi" w:cstheme="minorHAnsi"/>
                                <w:b/>
                                <w:bCs/>
                                <w:color w:val="auto"/>
                                <w:sz w:val="36"/>
                                <w:szCs w:val="36"/>
                              </w:rPr>
                            </w:pPr>
                            <w:r w:rsidRPr="007245E3">
                              <w:rPr>
                                <w:rFonts w:asciiTheme="minorHAnsi" w:hAnsiTheme="minorHAnsi" w:cstheme="minorHAnsi"/>
                                <w:b/>
                                <w:bCs/>
                                <w:color w:val="auto"/>
                                <w:sz w:val="36"/>
                                <w:szCs w:val="36"/>
                              </w:rPr>
                              <w:t>Quick refernce key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896C7EB">
                <v:stroke joinstyle="miter"/>
                <v:path gradientshapeok="t" o:connecttype="rect"/>
              </v:shapetype>
              <v:shape id="Text Box 4" style="position:absolute;left:0;text-align:left;margin-left:0;margin-top:184.5pt;width:306.75pt;height:46.5pt;z-index:-251656192;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">
                <v:textbox>
                  <w:txbxContent>
                    <w:p w:rsidRPr="007245E3" w:rsidR="00E6035C" w:rsidP="00E6035C" w:rsidRDefault="00E6035C" w14:paraId="4DF27740" w14:textId="77777777">
                      <w:pPr>
                        <w:pStyle w:val="Title"/>
                        <w:rPr>
                          <w:rFonts w:asciiTheme="minorHAnsi" w:hAnsiTheme="minorHAnsi" w:cstheme="minorHAnsi"/>
                          <w:b/>
                          <w:bCs/>
                          <w:color w:val="auto"/>
                          <w:sz w:val="36"/>
                          <w:szCs w:val="36"/>
                        </w:rPr>
                      </w:pPr>
                      <w:r w:rsidRPr="007245E3">
                        <w:rPr>
                          <w:rFonts w:asciiTheme="minorHAnsi" w:hAnsiTheme="minorHAnsi" w:cstheme="minorHAnsi"/>
                          <w:b/>
                          <w:bCs/>
                          <w:color w:val="auto"/>
                          <w:sz w:val="36"/>
                          <w:szCs w:val="36"/>
                        </w:rPr>
                        <w:t>Quick refernce key points</w:t>
                      </w:r>
                    </w:p>
                  </w:txbxContent>
                </v:textbox>
                <w10:wrap type="topAndBottom" anchorx="margin"/>
              </v:shape>
            </w:pict>
          </mc:Fallback>
        </mc:AlternateContent>
      </w:r>
      <w:r w:rsidRPr="7B9882E5" w:rsidR="00E6035C">
        <w:rPr>
          <w:rFonts w:ascii="Calibri" w:hAnsi="Calibri" w:cs="Calibri" w:asciiTheme="minorAscii" w:hAnsiTheme="minorAscii" w:cstheme="minorAscii"/>
          <w:b w:val="1"/>
          <w:bCs w:val="1"/>
          <w:color w:val="auto"/>
          <w:sz w:val="56"/>
          <w:szCs w:val="56"/>
        </w:rPr>
        <w:t>Money Launderin</w:t>
      </w:r>
      <w:r w:rsidRPr="7B9882E5" w:rsidR="5F1F231F">
        <w:rPr>
          <w:rFonts w:ascii="Calibri" w:hAnsi="Calibri" w:cs="Calibri" w:asciiTheme="minorAscii" w:hAnsiTheme="minorAscii" w:cstheme="minorAscii"/>
          <w:b w:val="1"/>
          <w:bCs w:val="1"/>
          <w:color w:val="auto"/>
          <w:sz w:val="56"/>
          <w:szCs w:val="56"/>
        </w:rPr>
        <w:t>g</w:t>
      </w:r>
      <w:r w:rsidRPr="7B9882E5" w:rsidR="00E6035C">
        <w:rPr>
          <w:rFonts w:ascii="Calibri" w:hAnsi="Calibri" w:cs="Calibri" w:asciiTheme="minorAscii" w:hAnsiTheme="minorAscii" w:cstheme="minorAscii"/>
          <w:b w:val="1"/>
          <w:bCs w:val="1"/>
          <w:color w:val="auto"/>
          <w:sz w:val="56"/>
          <w:szCs w:val="56"/>
        </w:rPr>
        <w:t xml:space="preserve"> Policy</w:t>
      </w:r>
    </w:p>
    <w:tbl>
      <w:tblPr>
        <w:tblStyle w:val="TableGrid"/>
        <w:tblW w:w="0" w:type="auto"/>
        <w:tblLook w:val="04A0" w:firstRow="1" w:lastRow="0" w:firstColumn="1" w:lastColumn="0" w:noHBand="0" w:noVBand="1"/>
      </w:tblPr>
      <w:tblGrid>
        <w:gridCol w:w="4508"/>
        <w:gridCol w:w="4508"/>
      </w:tblGrid>
      <w:tr w:rsidRPr="00771612" w:rsidR="00E6035C" w:rsidTr="00AF49DD" w14:paraId="35503FD4" w14:textId="77777777">
        <w:trPr>
          <w:trHeight w:val="368"/>
        </w:trPr>
        <w:tc>
          <w:tcPr>
            <w:tcW w:w="4508" w:type="dxa"/>
          </w:tcPr>
          <w:p w:rsidRPr="00771612" w:rsidR="00E6035C" w:rsidP="00AF49DD" w:rsidRDefault="00E6035C" w14:paraId="0BD05425" w14:textId="77777777">
            <w:pPr>
              <w:rPr>
                <w:b/>
                <w:bCs/>
                <w:sz w:val="24"/>
                <w:szCs w:val="24"/>
              </w:rPr>
            </w:pPr>
          </w:p>
          <w:p w:rsidRPr="00771612" w:rsidR="00E6035C" w:rsidP="00AF49DD" w:rsidRDefault="00E6035C" w14:paraId="5238CE28" w14:textId="77777777">
            <w:pPr>
              <w:rPr>
                <w:b/>
                <w:bCs/>
                <w:sz w:val="24"/>
                <w:szCs w:val="24"/>
              </w:rPr>
            </w:pPr>
            <w:r w:rsidRPr="00771612">
              <w:rPr>
                <w:b/>
                <w:bCs/>
                <w:sz w:val="24"/>
                <w:szCs w:val="24"/>
              </w:rPr>
              <w:t>Section 3: Scope</w:t>
            </w:r>
          </w:p>
          <w:p w:rsidR="00E6035C" w:rsidP="00AF49DD" w:rsidRDefault="00E6035C" w14:paraId="6849AFA4" w14:textId="77777777">
            <w:pPr>
              <w:rPr>
                <w:color w:val="000000"/>
                <w:sz w:val="24"/>
                <w:szCs w:val="24"/>
              </w:rPr>
            </w:pPr>
            <w:r w:rsidRPr="00771612">
              <w:rPr>
                <w:color w:val="000000"/>
                <w:sz w:val="24"/>
                <w:szCs w:val="24"/>
              </w:rPr>
              <w:t>Failure by an employee to comply with the procedures set out in this Policy may lead to disciplinary action being taken against them.</w:t>
            </w:r>
          </w:p>
          <w:p w:rsidRPr="00771612" w:rsidR="00E6035C" w:rsidP="00AF49DD" w:rsidRDefault="00E6035C" w14:paraId="6DE421FC" w14:textId="77777777">
            <w:pPr>
              <w:rPr>
                <w:b/>
                <w:bCs/>
                <w:sz w:val="24"/>
                <w:szCs w:val="24"/>
              </w:rPr>
            </w:pPr>
          </w:p>
        </w:tc>
        <w:tc>
          <w:tcPr>
            <w:tcW w:w="4508" w:type="dxa"/>
            <w:vMerge w:val="restart"/>
          </w:tcPr>
          <w:p w:rsidRPr="00771612" w:rsidR="00E6035C" w:rsidP="00AF49DD" w:rsidRDefault="00E6035C" w14:paraId="63F8A09A" w14:textId="77777777">
            <w:pPr>
              <w:rPr>
                <w:b/>
                <w:bCs/>
                <w:sz w:val="24"/>
                <w:szCs w:val="24"/>
              </w:rPr>
            </w:pPr>
          </w:p>
          <w:p w:rsidRPr="00771612" w:rsidR="00E6035C" w:rsidP="00AF49DD" w:rsidRDefault="00E6035C" w14:paraId="54362F0D" w14:textId="77777777">
            <w:pPr>
              <w:rPr>
                <w:b/>
                <w:bCs/>
                <w:sz w:val="24"/>
                <w:szCs w:val="24"/>
              </w:rPr>
            </w:pPr>
            <w:r w:rsidRPr="00771612">
              <w:rPr>
                <w:b/>
                <w:bCs/>
                <w:sz w:val="24"/>
                <w:szCs w:val="24"/>
              </w:rPr>
              <w:t>Section 9: Processing Refunds</w:t>
            </w:r>
          </w:p>
          <w:p w:rsidRPr="00771612" w:rsidR="00E6035C" w:rsidP="00AF49DD" w:rsidRDefault="00E6035C" w14:paraId="3DB7F045" w14:textId="77777777">
            <w:pPr>
              <w:rPr>
                <w:color w:val="000000"/>
                <w:sz w:val="24"/>
                <w:szCs w:val="24"/>
              </w:rPr>
            </w:pPr>
            <w:r w:rsidRPr="00771612">
              <w:rPr>
                <w:color w:val="000000"/>
                <w:sz w:val="24"/>
                <w:szCs w:val="24"/>
              </w:rPr>
              <w:t>Funds can only be refunded back to the original payer and cannot be refunded to a third party</w:t>
            </w:r>
          </w:p>
          <w:p w:rsidRPr="00771612" w:rsidR="00E6035C" w:rsidP="00AF49DD" w:rsidRDefault="00E6035C" w14:paraId="54896C25" w14:textId="77777777">
            <w:pPr>
              <w:rPr>
                <w:color w:val="000000"/>
                <w:sz w:val="24"/>
                <w:szCs w:val="24"/>
              </w:rPr>
            </w:pPr>
          </w:p>
          <w:p w:rsidRPr="00771612" w:rsidR="00E6035C" w:rsidP="00AF49DD" w:rsidRDefault="00E6035C" w14:paraId="3706A28E" w14:textId="77777777">
            <w:pPr>
              <w:rPr>
                <w:color w:val="000000"/>
                <w:sz w:val="24"/>
                <w:szCs w:val="24"/>
              </w:rPr>
            </w:pPr>
            <w:r w:rsidRPr="00771612">
              <w:rPr>
                <w:color w:val="000000"/>
                <w:sz w:val="24"/>
                <w:szCs w:val="24"/>
              </w:rPr>
              <w:t>All card refunds should be processed on the card terminal by a senior manager</w:t>
            </w:r>
          </w:p>
          <w:p w:rsidRPr="00771612" w:rsidR="00E6035C" w:rsidP="00AF49DD" w:rsidRDefault="00E6035C" w14:paraId="1496F6A2" w14:textId="77777777">
            <w:pPr>
              <w:rPr>
                <w:color w:val="000000"/>
                <w:sz w:val="24"/>
                <w:szCs w:val="24"/>
              </w:rPr>
            </w:pPr>
          </w:p>
          <w:p w:rsidRPr="00771612" w:rsidR="00E6035C" w:rsidP="00AF49DD" w:rsidRDefault="00E6035C" w14:paraId="7E805E8B" w14:textId="77777777">
            <w:pPr>
              <w:rPr>
                <w:color w:val="000000"/>
                <w:sz w:val="24"/>
                <w:szCs w:val="24"/>
              </w:rPr>
            </w:pPr>
            <w:r w:rsidRPr="00771612">
              <w:rPr>
                <w:color w:val="000000"/>
                <w:sz w:val="24"/>
                <w:szCs w:val="24"/>
              </w:rPr>
              <w:t>All BACS/CHAPS refunds must be requested by completing the relevant payment request paperwork and following the current Payment Request Process</w:t>
            </w:r>
          </w:p>
          <w:p w:rsidRPr="00771612" w:rsidR="00E6035C" w:rsidP="00AF49DD" w:rsidRDefault="00E6035C" w14:paraId="1DB7F575" w14:textId="77777777">
            <w:pPr>
              <w:rPr>
                <w:b/>
                <w:bCs/>
                <w:sz w:val="24"/>
                <w:szCs w:val="24"/>
              </w:rPr>
            </w:pPr>
          </w:p>
        </w:tc>
      </w:tr>
      <w:tr w:rsidRPr="00771612" w:rsidR="00E6035C" w:rsidTr="00AF49DD" w14:paraId="09B072A1" w14:textId="77777777">
        <w:trPr>
          <w:trHeight w:val="367"/>
        </w:trPr>
        <w:tc>
          <w:tcPr>
            <w:tcW w:w="4508" w:type="dxa"/>
          </w:tcPr>
          <w:p w:rsidRPr="00771612" w:rsidR="00E6035C" w:rsidP="00AF49DD" w:rsidRDefault="00E6035C" w14:paraId="62AD75F0" w14:textId="77777777">
            <w:pPr>
              <w:rPr>
                <w:b/>
                <w:bCs/>
                <w:sz w:val="24"/>
                <w:szCs w:val="24"/>
              </w:rPr>
            </w:pPr>
          </w:p>
          <w:p w:rsidRPr="00771612" w:rsidR="00E6035C" w:rsidP="00AF49DD" w:rsidRDefault="00E6035C" w14:paraId="339274CB" w14:textId="77777777">
            <w:pPr>
              <w:rPr>
                <w:b/>
                <w:bCs/>
                <w:sz w:val="24"/>
                <w:szCs w:val="24"/>
              </w:rPr>
            </w:pPr>
          </w:p>
          <w:p w:rsidRPr="00771612" w:rsidR="00E6035C" w:rsidP="00AF49DD" w:rsidRDefault="00E6035C" w14:paraId="14976C36" w14:textId="77777777">
            <w:pPr>
              <w:rPr>
                <w:b/>
                <w:bCs/>
                <w:sz w:val="24"/>
                <w:szCs w:val="24"/>
              </w:rPr>
            </w:pPr>
            <w:r w:rsidRPr="00771612">
              <w:rPr>
                <w:b/>
                <w:bCs/>
                <w:sz w:val="24"/>
                <w:szCs w:val="24"/>
              </w:rPr>
              <w:t>Section 7: Cash Thresholds</w:t>
            </w:r>
          </w:p>
          <w:p w:rsidRPr="00771612" w:rsidR="00E6035C" w:rsidP="00AF49DD" w:rsidRDefault="00E6035C" w14:paraId="101F0CA4" w14:textId="77777777">
            <w:pPr>
              <w:rPr>
                <w:b/>
                <w:bCs/>
                <w:sz w:val="24"/>
                <w:szCs w:val="24"/>
              </w:rPr>
            </w:pPr>
            <w:proofErr w:type="spellStart"/>
            <w:r w:rsidRPr="00771612">
              <w:rPr>
                <w:color w:val="000000"/>
                <w:sz w:val="24"/>
                <w:szCs w:val="24"/>
              </w:rPr>
              <w:t>Startins</w:t>
            </w:r>
            <w:proofErr w:type="spellEnd"/>
            <w:r w:rsidRPr="00771612">
              <w:rPr>
                <w:color w:val="000000"/>
                <w:sz w:val="24"/>
                <w:szCs w:val="24"/>
              </w:rPr>
              <w:t xml:space="preserve"> will only accept cash payments up to the sum of £5000</w:t>
            </w:r>
          </w:p>
        </w:tc>
        <w:tc>
          <w:tcPr>
            <w:tcW w:w="4508" w:type="dxa"/>
            <w:vMerge/>
          </w:tcPr>
          <w:p w:rsidRPr="00771612" w:rsidR="00E6035C" w:rsidP="00AF49DD" w:rsidRDefault="00E6035C" w14:paraId="1234ABD3" w14:textId="77777777">
            <w:pPr>
              <w:rPr>
                <w:b/>
                <w:bCs/>
                <w:sz w:val="24"/>
                <w:szCs w:val="24"/>
              </w:rPr>
            </w:pPr>
          </w:p>
        </w:tc>
      </w:tr>
      <w:tr w:rsidRPr="00771612" w:rsidR="00E6035C" w:rsidTr="00AF49DD" w14:paraId="02326544" w14:textId="77777777">
        <w:tc>
          <w:tcPr>
            <w:tcW w:w="4508" w:type="dxa"/>
          </w:tcPr>
          <w:p w:rsidRPr="00771612" w:rsidR="00E6035C" w:rsidP="00AF49DD" w:rsidRDefault="00E6035C" w14:paraId="512A4E13" w14:textId="77777777">
            <w:pPr>
              <w:rPr>
                <w:b/>
                <w:bCs/>
                <w:sz w:val="24"/>
                <w:szCs w:val="24"/>
              </w:rPr>
            </w:pPr>
          </w:p>
          <w:p w:rsidRPr="00771612" w:rsidR="00E6035C" w:rsidP="00AF49DD" w:rsidRDefault="00E6035C" w14:paraId="5F020298" w14:textId="77777777">
            <w:pPr>
              <w:rPr>
                <w:b/>
                <w:bCs/>
                <w:sz w:val="24"/>
                <w:szCs w:val="24"/>
              </w:rPr>
            </w:pPr>
          </w:p>
          <w:p w:rsidRPr="00771612" w:rsidR="00E6035C" w:rsidP="00AF49DD" w:rsidRDefault="00E6035C" w14:paraId="6B2A7D4C" w14:textId="1944F4FB">
            <w:pPr>
              <w:rPr>
                <w:b/>
                <w:bCs/>
                <w:sz w:val="24"/>
                <w:szCs w:val="24"/>
              </w:rPr>
            </w:pPr>
            <w:r w:rsidRPr="00771612">
              <w:rPr>
                <w:b/>
                <w:bCs/>
                <w:sz w:val="24"/>
                <w:szCs w:val="24"/>
              </w:rPr>
              <w:t>Section 10: Card Payments</w:t>
            </w:r>
          </w:p>
          <w:p w:rsidR="00E6035C" w:rsidP="00AF49DD" w:rsidRDefault="00E6035C" w14:paraId="652332B1" w14:textId="77777777">
            <w:pPr>
              <w:rPr>
                <w:color w:val="000000"/>
                <w:sz w:val="24"/>
                <w:szCs w:val="24"/>
              </w:rPr>
            </w:pPr>
            <w:r w:rsidRPr="00771612">
              <w:rPr>
                <w:color w:val="000000"/>
                <w:sz w:val="24"/>
                <w:szCs w:val="24"/>
              </w:rPr>
              <w:t>The maximum amount that the company will accept on credit cards is £500</w:t>
            </w:r>
          </w:p>
          <w:p w:rsidR="00AA4E2A" w:rsidP="00AF49DD" w:rsidRDefault="00AA4E2A" w14:paraId="080900C1" w14:textId="77777777">
            <w:pPr>
              <w:rPr>
                <w:b/>
                <w:bCs/>
                <w:color w:val="000000"/>
                <w:sz w:val="24"/>
                <w:szCs w:val="24"/>
              </w:rPr>
            </w:pPr>
          </w:p>
          <w:p w:rsidR="00AA4E2A" w:rsidP="00AF49DD" w:rsidRDefault="00AA4E2A" w14:paraId="46CC8D4C" w14:textId="77777777">
            <w:pPr>
              <w:rPr>
                <w:sz w:val="24"/>
                <w:szCs w:val="24"/>
              </w:rPr>
            </w:pPr>
            <w:r w:rsidRPr="00AA4E2A">
              <w:rPr>
                <w:sz w:val="24"/>
                <w:szCs w:val="24"/>
              </w:rPr>
              <w:t>The maximum amount that the company will accept on debit card where the card is not present is £1000</w:t>
            </w:r>
          </w:p>
          <w:p w:rsidR="005712A8" w:rsidP="00AF49DD" w:rsidRDefault="005712A8" w14:paraId="59D629A3" w14:textId="77777777">
            <w:pPr>
              <w:rPr>
                <w:b/>
                <w:bCs/>
                <w:sz w:val="24"/>
                <w:szCs w:val="24"/>
              </w:rPr>
            </w:pPr>
          </w:p>
          <w:p w:rsidRPr="005712A8" w:rsidR="005712A8" w:rsidP="00AF49DD" w:rsidRDefault="002B3288" w14:paraId="5815C505" w14:textId="0ED84264">
            <w:pPr>
              <w:rPr>
                <w:i/>
                <w:iCs/>
                <w:sz w:val="24"/>
                <w:szCs w:val="24"/>
              </w:rPr>
            </w:pPr>
            <w:r>
              <w:rPr>
                <w:i/>
                <w:iCs/>
                <w:sz w:val="24"/>
                <w:szCs w:val="24"/>
              </w:rPr>
              <w:t xml:space="preserve">Any transaction above these values </w:t>
            </w:r>
            <w:r w:rsidR="00B34F70">
              <w:rPr>
                <w:i/>
                <w:iCs/>
                <w:sz w:val="24"/>
                <w:szCs w:val="24"/>
              </w:rPr>
              <w:t>is</w:t>
            </w:r>
            <w:r>
              <w:rPr>
                <w:i/>
                <w:iCs/>
                <w:sz w:val="24"/>
                <w:szCs w:val="24"/>
              </w:rPr>
              <w:t xml:space="preserve"> s</w:t>
            </w:r>
            <w:r w:rsidRPr="005712A8" w:rsidR="005712A8">
              <w:rPr>
                <w:i/>
                <w:iCs/>
                <w:sz w:val="24"/>
                <w:szCs w:val="24"/>
              </w:rPr>
              <w:t>ubject to managers authorisation.</w:t>
            </w:r>
          </w:p>
        </w:tc>
        <w:tc>
          <w:tcPr>
            <w:tcW w:w="4508" w:type="dxa"/>
          </w:tcPr>
          <w:p w:rsidRPr="00771612" w:rsidR="00E6035C" w:rsidP="00AF49DD" w:rsidRDefault="00E6035C" w14:paraId="563426C2" w14:textId="77777777">
            <w:pPr>
              <w:rPr>
                <w:b/>
                <w:bCs/>
                <w:sz w:val="24"/>
                <w:szCs w:val="24"/>
              </w:rPr>
            </w:pPr>
          </w:p>
          <w:p w:rsidRPr="00771612" w:rsidR="00E6035C" w:rsidP="00AF49DD" w:rsidRDefault="00E6035C" w14:paraId="29BFC76E" w14:textId="77777777">
            <w:pPr>
              <w:rPr>
                <w:b/>
                <w:bCs/>
                <w:sz w:val="24"/>
                <w:szCs w:val="24"/>
              </w:rPr>
            </w:pPr>
          </w:p>
          <w:p w:rsidRPr="00771612" w:rsidR="00E6035C" w:rsidP="00AF49DD" w:rsidRDefault="00E6035C" w14:paraId="3D529077" w14:textId="0EF4825E">
            <w:pPr>
              <w:rPr>
                <w:b/>
                <w:bCs/>
                <w:sz w:val="24"/>
                <w:szCs w:val="24"/>
              </w:rPr>
            </w:pPr>
            <w:r w:rsidRPr="00771612">
              <w:rPr>
                <w:b/>
                <w:bCs/>
                <w:sz w:val="24"/>
                <w:szCs w:val="24"/>
              </w:rPr>
              <w:t>Section 1</w:t>
            </w:r>
            <w:r>
              <w:rPr>
                <w:b/>
                <w:bCs/>
                <w:sz w:val="24"/>
                <w:szCs w:val="24"/>
              </w:rPr>
              <w:t>1</w:t>
            </w:r>
            <w:r w:rsidRPr="00771612">
              <w:rPr>
                <w:b/>
                <w:bCs/>
                <w:sz w:val="24"/>
                <w:szCs w:val="24"/>
              </w:rPr>
              <w:t>: Cheque Payments</w:t>
            </w:r>
          </w:p>
          <w:p w:rsidRPr="00771612" w:rsidR="00E6035C" w:rsidP="00AF49DD" w:rsidRDefault="00E6035C" w14:paraId="237D0657" w14:textId="77777777">
            <w:pPr>
              <w:rPr>
                <w:color w:val="000000"/>
                <w:sz w:val="24"/>
                <w:szCs w:val="24"/>
              </w:rPr>
            </w:pPr>
            <w:r w:rsidRPr="00771612">
              <w:rPr>
                <w:color w:val="000000"/>
                <w:sz w:val="24"/>
                <w:szCs w:val="24"/>
              </w:rPr>
              <w:t>Bankers’ drafts are acceptable methods of payment</w:t>
            </w:r>
          </w:p>
          <w:p w:rsidRPr="00771612" w:rsidR="00E6035C" w:rsidP="00AF49DD" w:rsidRDefault="00E6035C" w14:paraId="0E68FAAB" w14:textId="77777777">
            <w:pPr>
              <w:rPr>
                <w:color w:val="000000"/>
                <w:sz w:val="24"/>
                <w:szCs w:val="24"/>
              </w:rPr>
            </w:pPr>
          </w:p>
          <w:p w:rsidR="00E6035C" w:rsidP="00AF49DD" w:rsidRDefault="00E6035C" w14:paraId="6C653B66" w14:textId="77777777">
            <w:pPr>
              <w:rPr>
                <w:color w:val="000000"/>
                <w:sz w:val="24"/>
                <w:szCs w:val="24"/>
              </w:rPr>
            </w:pPr>
            <w:r w:rsidRPr="00771612">
              <w:rPr>
                <w:color w:val="000000"/>
                <w:sz w:val="24"/>
                <w:szCs w:val="24"/>
              </w:rPr>
              <w:t>If a customer wishes to pay by personal cheque 10 working days must be allowed before the release of any asset.</w:t>
            </w:r>
          </w:p>
          <w:p w:rsidRPr="00771612" w:rsidR="00E6035C" w:rsidP="00AF49DD" w:rsidRDefault="00E6035C" w14:paraId="02A4AAA0" w14:textId="77777777">
            <w:pPr>
              <w:rPr>
                <w:b/>
                <w:bCs/>
                <w:sz w:val="24"/>
                <w:szCs w:val="24"/>
              </w:rPr>
            </w:pPr>
          </w:p>
        </w:tc>
      </w:tr>
    </w:tbl>
    <w:p w:rsidR="00E6035C" w:rsidP="00DD5FEC" w:rsidRDefault="00E6035C" w14:paraId="707278AF" w14:textId="77777777">
      <w:pPr>
        <w:jc w:val="center"/>
        <w:rPr>
          <w:b/>
          <w:bCs/>
          <w:sz w:val="28"/>
          <w:szCs w:val="28"/>
        </w:rPr>
      </w:pPr>
    </w:p>
    <w:p w:rsidR="00E6035C" w:rsidP="00DD5FEC" w:rsidRDefault="00E6035C" w14:paraId="1B703E0C" w14:textId="77777777">
      <w:pPr>
        <w:jc w:val="center"/>
        <w:rPr>
          <w:b/>
          <w:bCs/>
          <w:sz w:val="28"/>
          <w:szCs w:val="28"/>
        </w:rPr>
      </w:pPr>
    </w:p>
    <w:p w:rsidR="00E6035C" w:rsidP="00DD5FEC" w:rsidRDefault="00E6035C" w14:paraId="44620FAF" w14:textId="77777777">
      <w:pPr>
        <w:jc w:val="center"/>
        <w:rPr>
          <w:b/>
          <w:bCs/>
          <w:sz w:val="28"/>
          <w:szCs w:val="28"/>
        </w:rPr>
      </w:pPr>
    </w:p>
    <w:p w:rsidR="00DD5FEC" w:rsidP="00DD5FEC" w:rsidRDefault="00827868" w14:paraId="18E42240" w14:textId="3C091B1E">
      <w:pPr>
        <w:jc w:val="center"/>
        <w:rPr>
          <w:b/>
          <w:bCs/>
          <w:sz w:val="28"/>
          <w:szCs w:val="28"/>
        </w:rPr>
      </w:pPr>
      <w:r w:rsidRPr="00514E32">
        <w:rPr>
          <w:b/>
          <w:bCs/>
          <w:sz w:val="28"/>
          <w:szCs w:val="28"/>
        </w:rPr>
        <w:t>Anti-Money Laundering Policy and Procedures</w:t>
      </w:r>
    </w:p>
    <w:p w:rsidRPr="00514E32" w:rsidR="00514E32" w:rsidP="00DD5FEC" w:rsidRDefault="00514E32" w14:paraId="174B484E" w14:textId="77777777">
      <w:pPr>
        <w:jc w:val="center"/>
        <w:rPr>
          <w:b/>
          <w:bCs/>
          <w:sz w:val="28"/>
          <w:szCs w:val="28"/>
        </w:rPr>
      </w:pPr>
    </w:p>
    <w:p w:rsidRPr="005F4647" w:rsidR="005F4647" w:rsidP="00DD5FEC" w:rsidRDefault="00DD5FEC" w14:paraId="5B391E72" w14:textId="71205AA1">
      <w:pPr>
        <w:pStyle w:val="ListParagraph"/>
        <w:numPr>
          <w:ilvl w:val="0"/>
          <w:numId w:val="1"/>
        </w:numPr>
        <w:rPr>
          <w:b/>
          <w:bCs/>
        </w:rPr>
      </w:pPr>
      <w:r w:rsidRPr="005F4647">
        <w:rPr>
          <w:b/>
          <w:bCs/>
        </w:rPr>
        <w:t xml:space="preserve">Purpose </w:t>
      </w:r>
    </w:p>
    <w:p w:rsidR="005F4647" w:rsidP="005F4647" w:rsidRDefault="005F4647" w14:paraId="0141C07D" w14:textId="77777777">
      <w:pPr>
        <w:pStyle w:val="ListParagraph"/>
      </w:pPr>
    </w:p>
    <w:p w:rsidR="00DD5FEC" w:rsidP="005F4647" w:rsidRDefault="00DD5FEC" w14:paraId="466F3A58" w14:textId="7E05F769">
      <w:pPr>
        <w:pStyle w:val="ListParagraph"/>
      </w:pPr>
      <w:r>
        <w:t xml:space="preserve">The purpose of this document is to make all staff </w:t>
      </w:r>
      <w:r w:rsidR="009475E5">
        <w:t>within</w:t>
      </w:r>
      <w:r>
        <w:t xml:space="preserve"> the company aware of the strict money laundering policy that the company follows. </w:t>
      </w:r>
      <w:proofErr w:type="spellStart"/>
      <w:r w:rsidR="009B25A5">
        <w:t>Startins</w:t>
      </w:r>
      <w:proofErr w:type="spellEnd"/>
      <w:r w:rsidR="009B25A5">
        <w:t xml:space="preserve"> is committed </w:t>
      </w:r>
      <w:r w:rsidR="00D679B9">
        <w:t>to: preventing</w:t>
      </w:r>
      <w:r w:rsidR="009B25A5">
        <w:t xml:space="preserve"> the company and its employees being exposed to money laundering; identifying the risks where it may occur; and complying with legal and regulatory requirements</w:t>
      </w:r>
      <w:r>
        <w:t xml:space="preserve">. </w:t>
      </w:r>
      <w:proofErr w:type="spellStart"/>
      <w:r w:rsidR="009B25A5">
        <w:t>Startins</w:t>
      </w:r>
      <w:proofErr w:type="spellEnd"/>
      <w:r w:rsidR="009B25A5">
        <w:t xml:space="preserve"> </w:t>
      </w:r>
      <w:r>
        <w:t xml:space="preserve">has a </w:t>
      </w:r>
      <w:r w:rsidR="009475E5">
        <w:t>zero-tolerance</w:t>
      </w:r>
      <w:r>
        <w:t xml:space="preserve"> approach to money laundering and the policy applies to activity both at home and abroad and to any activity with </w:t>
      </w:r>
      <w:r w:rsidR="009B25A5">
        <w:t>company</w:t>
      </w:r>
      <w:r>
        <w:t xml:space="preserve"> partners. </w:t>
      </w:r>
    </w:p>
    <w:p w:rsidR="00DD5FEC" w:rsidP="00DD5FEC" w:rsidRDefault="00DD5FEC" w14:paraId="58E22AE6" w14:textId="77777777">
      <w:pPr>
        <w:pStyle w:val="ListParagraph"/>
      </w:pPr>
    </w:p>
    <w:p w:rsidRPr="005F4647" w:rsidR="005F4647" w:rsidP="00DD5FEC" w:rsidRDefault="00DD5FEC" w14:paraId="31D0231A" w14:textId="77777777">
      <w:pPr>
        <w:pStyle w:val="ListParagraph"/>
        <w:numPr>
          <w:ilvl w:val="0"/>
          <w:numId w:val="1"/>
        </w:numPr>
        <w:rPr>
          <w:b/>
          <w:bCs/>
        </w:rPr>
      </w:pPr>
      <w:r w:rsidRPr="005F4647">
        <w:rPr>
          <w:b/>
          <w:bCs/>
        </w:rPr>
        <w:t xml:space="preserve"> Definitions &amp; Legislative Context </w:t>
      </w:r>
    </w:p>
    <w:p w:rsidR="005F4647" w:rsidP="005F4647" w:rsidRDefault="005F4647" w14:paraId="18DF71CB" w14:textId="77777777">
      <w:pPr>
        <w:pStyle w:val="ListParagraph"/>
      </w:pPr>
    </w:p>
    <w:p w:rsidR="005F4647" w:rsidP="005F4647" w:rsidRDefault="00DD5FEC" w14:paraId="4764CB0E" w14:textId="370E11DD">
      <w:pPr>
        <w:pStyle w:val="ListParagraph"/>
      </w:pPr>
      <w:r>
        <w:t xml:space="preserve">The Money Laundering, Terrorist Financing &amp; Transfer of Funds Regulations 2017 (MLR 2017) came into force on 26 June 2017. They implement the EU’s 4th Directive on Money Laundering. In doing so, they replace the Money Laundering Regulations (MLR 2007). The UK Anti-Money Laundering (AML) framework also incorporates the Proceeds of Crime Act 2002. </w:t>
      </w:r>
    </w:p>
    <w:p w:rsidR="005F4647" w:rsidP="005F4647" w:rsidRDefault="005F4647" w14:paraId="00CEAF02" w14:textId="77777777">
      <w:pPr>
        <w:pStyle w:val="ListParagraph"/>
      </w:pPr>
    </w:p>
    <w:p w:rsidR="005F4647" w:rsidP="005F4647" w:rsidRDefault="00DD5FEC" w14:paraId="295C23ED" w14:textId="77777777">
      <w:pPr>
        <w:pStyle w:val="ListParagraph"/>
      </w:pPr>
      <w:r>
        <w:t xml:space="preserve">MLR 2017 adopts a more risk-based approach towards anti – money laundering and how due diligence is conducted. </w:t>
      </w:r>
    </w:p>
    <w:p w:rsidR="005F4647" w:rsidP="005F4647" w:rsidRDefault="005F4647" w14:paraId="40BD068A" w14:textId="77777777">
      <w:pPr>
        <w:pStyle w:val="ListParagraph"/>
      </w:pPr>
    </w:p>
    <w:p w:rsidR="005F4647" w:rsidP="005F4647" w:rsidRDefault="00DD5FEC" w14:paraId="4BAC69DA" w14:textId="77777777">
      <w:pPr>
        <w:pStyle w:val="ListParagraph"/>
      </w:pPr>
      <w:r>
        <w:t xml:space="preserve">Money laundering is the process of taking profits from crime and corruption and transforming them into legitimate assets. It takes criminally-derived ‘dirty funds’ and converts them into other assets so they can be reintroduced into legitimate commerce. This process conceals the true origin or ownership of the funds, and so ‘cleans’ them. </w:t>
      </w:r>
    </w:p>
    <w:p w:rsidR="005F4647" w:rsidP="005F4647" w:rsidRDefault="005F4647" w14:paraId="4A8606EB" w14:textId="77777777">
      <w:pPr>
        <w:pStyle w:val="ListParagraph"/>
      </w:pPr>
    </w:p>
    <w:p w:rsidR="005F4647" w:rsidP="005F4647" w:rsidRDefault="00DD5FEC" w14:paraId="100FB164" w14:textId="77777777">
      <w:pPr>
        <w:pStyle w:val="ListParagraph"/>
      </w:pPr>
      <w:r>
        <w:t xml:space="preserve">There are three stages in money laundering; placement, layering and integration. Placement is where the proceeds of criminal activity enter into the financial system; layering distances the money from its illegal source through layers of financial transactions; finally, integration involves the re-introduction of the illegal proceeds into legitimate commerce by providing an apparently genuine explanation for the funds. </w:t>
      </w:r>
    </w:p>
    <w:p w:rsidR="005F4647" w:rsidP="005F4647" w:rsidRDefault="005F4647" w14:paraId="54E7D1D4" w14:textId="0FDB4F23">
      <w:pPr>
        <w:pStyle w:val="ListParagraph"/>
      </w:pPr>
    </w:p>
    <w:p w:rsidR="005F4647" w:rsidP="005F4647" w:rsidRDefault="005F4647" w14:paraId="6B77A56A" w14:textId="30786B5E">
      <w:pPr>
        <w:pStyle w:val="ListParagraph"/>
        <w:numPr>
          <w:ilvl w:val="0"/>
          <w:numId w:val="1"/>
        </w:numPr>
        <w:rPr>
          <w:b/>
          <w:bCs/>
        </w:rPr>
      </w:pPr>
      <w:r w:rsidRPr="005F4647">
        <w:rPr>
          <w:b/>
          <w:bCs/>
        </w:rPr>
        <w:t>Scope</w:t>
      </w:r>
    </w:p>
    <w:p w:rsidRPr="005F4647" w:rsidR="00335F21" w:rsidP="00335F21" w:rsidRDefault="00335F21" w14:paraId="16BBD1EA" w14:textId="77777777">
      <w:pPr>
        <w:pStyle w:val="ListParagraph"/>
        <w:rPr>
          <w:b/>
          <w:bCs/>
        </w:rPr>
      </w:pPr>
    </w:p>
    <w:p w:rsidR="005F4647" w:rsidP="005F4647" w:rsidRDefault="005F4647" w14:paraId="13A2C78B" w14:textId="77777777">
      <w:pPr>
        <w:pStyle w:val="ListParagraph"/>
      </w:pPr>
      <w:r>
        <w:t xml:space="preserve">This Policy applies to all employees of the Group. It sets out the required procedures which should be followed for reporting suspicions of money laundering activity to enable </w:t>
      </w:r>
      <w:proofErr w:type="spellStart"/>
      <w:r>
        <w:t>Startins</w:t>
      </w:r>
      <w:proofErr w:type="spellEnd"/>
      <w:r>
        <w:t xml:space="preserve"> to comply with its legal obligations.</w:t>
      </w:r>
    </w:p>
    <w:p w:rsidR="005F4647" w:rsidP="005F4647" w:rsidRDefault="005F4647" w14:paraId="03D82CF7" w14:textId="77777777">
      <w:pPr>
        <w:pStyle w:val="ListParagraph"/>
      </w:pPr>
    </w:p>
    <w:p w:rsidR="005F4647" w:rsidP="005F4647" w:rsidRDefault="00DD5FEC" w14:paraId="4F4A7AE9" w14:textId="77777777">
      <w:pPr>
        <w:pStyle w:val="ListParagraph"/>
      </w:pPr>
      <w:r>
        <w:t xml:space="preserve">Money laundering is a criminal offence. In the UK, penalties include unlimited fines and/or terms of imprisonment ranging from two to 14 years. Offences include: </w:t>
      </w:r>
    </w:p>
    <w:p w:rsidR="005F4647" w:rsidP="005F4647" w:rsidRDefault="00DD5FEC" w14:paraId="542F1D73" w14:textId="77777777">
      <w:pPr>
        <w:pStyle w:val="ListParagraph"/>
      </w:pPr>
      <w:r>
        <w:t xml:space="preserve">• Failing to report knowledge and or suspicion of money laundering </w:t>
      </w:r>
    </w:p>
    <w:p w:rsidR="005F4647" w:rsidP="005F4647" w:rsidRDefault="00DD5FEC" w14:paraId="70CD829C" w14:textId="77777777">
      <w:pPr>
        <w:pStyle w:val="ListParagraph"/>
      </w:pPr>
      <w:r>
        <w:t xml:space="preserve">• Failing to have adequate procedures to guard against money laundering </w:t>
      </w:r>
    </w:p>
    <w:p w:rsidR="005F4647" w:rsidP="005F4647" w:rsidRDefault="00DD5FEC" w14:paraId="25ACB88A" w14:textId="77777777">
      <w:pPr>
        <w:pStyle w:val="ListParagraph"/>
      </w:pPr>
      <w:r>
        <w:t>• Knowingly assisting money launderers</w:t>
      </w:r>
    </w:p>
    <w:p w:rsidR="005F4647" w:rsidP="005F4647" w:rsidRDefault="00DD5FEC" w14:paraId="503ACC80" w14:textId="77777777">
      <w:pPr>
        <w:pStyle w:val="ListParagraph"/>
      </w:pPr>
      <w:r>
        <w:t xml:space="preserve"> • Tipping-off suspected money launderers </w:t>
      </w:r>
    </w:p>
    <w:p w:rsidR="00F37713" w:rsidP="005F4647" w:rsidRDefault="00DD5FEC" w14:paraId="0A31EC0A" w14:textId="77777777">
      <w:pPr>
        <w:pStyle w:val="ListParagraph"/>
      </w:pPr>
      <w:r>
        <w:lastRenderedPageBreak/>
        <w:t xml:space="preserve">• Recklessly making a false or misleading statement in the context of money laundering </w:t>
      </w:r>
    </w:p>
    <w:p w:rsidR="002B6C6E" w:rsidP="005F4647" w:rsidRDefault="00F37713" w14:paraId="3F8591D4" w14:textId="3290A983">
      <w:pPr>
        <w:pStyle w:val="ListParagraph"/>
      </w:pPr>
      <w:proofErr w:type="spellStart"/>
      <w:r>
        <w:t>Startins</w:t>
      </w:r>
      <w:proofErr w:type="spellEnd"/>
      <w:r w:rsidR="00DD5FEC">
        <w:t xml:space="preserve"> could also face a range of sanctions for non-compliance, imposed by HM Revenue and Customs (HMRC) and /or the Financial Conduct Authority (FCA). Therefore, </w:t>
      </w:r>
      <w:r w:rsidR="009475E5">
        <w:t>f</w:t>
      </w:r>
      <w:r w:rsidR="002B6C6E">
        <w:t xml:space="preserve">ailure by </w:t>
      </w:r>
      <w:r w:rsidR="009475E5">
        <w:t>an</w:t>
      </w:r>
      <w:r w:rsidR="002B6C6E">
        <w:t xml:space="preserve"> employee to comply with the procedures set out in this Policy may lead to disciplinary action being taken against them. </w:t>
      </w:r>
    </w:p>
    <w:p w:rsidR="002B6C6E" w:rsidP="005F4647" w:rsidRDefault="002B6C6E" w14:paraId="04F1C5D3" w14:textId="77777777">
      <w:pPr>
        <w:pStyle w:val="ListParagraph"/>
      </w:pPr>
    </w:p>
    <w:p w:rsidRPr="00335F21" w:rsidR="00BC10A9" w:rsidP="002B6C6E" w:rsidRDefault="00DD5FEC" w14:paraId="11022506" w14:textId="3E70AC8A">
      <w:pPr>
        <w:pStyle w:val="ListParagraph"/>
        <w:numPr>
          <w:ilvl w:val="0"/>
          <w:numId w:val="1"/>
        </w:numPr>
      </w:pPr>
      <w:r w:rsidRPr="00BC10A9">
        <w:rPr>
          <w:b/>
          <w:bCs/>
        </w:rPr>
        <w:t>Risk Assessment</w:t>
      </w:r>
    </w:p>
    <w:p w:rsidR="00335F21" w:rsidP="00335F21" w:rsidRDefault="00335F21" w14:paraId="0397FC42" w14:textId="77777777">
      <w:pPr>
        <w:pStyle w:val="ListParagraph"/>
      </w:pPr>
    </w:p>
    <w:p w:rsidR="002B6C6E" w:rsidP="00BC10A9" w:rsidRDefault="00DD5FEC" w14:paraId="44E36EFF" w14:textId="17150225">
      <w:pPr>
        <w:pStyle w:val="ListParagraph"/>
      </w:pPr>
      <w:r>
        <w:t xml:space="preserve">MLR 2017 requires </w:t>
      </w:r>
      <w:proofErr w:type="spellStart"/>
      <w:r w:rsidR="003F0320">
        <w:t>Startins</w:t>
      </w:r>
      <w:proofErr w:type="spellEnd"/>
      <w:r>
        <w:t xml:space="preserve"> to undertake a risk assessment and assess its exposure to money laundering. </w:t>
      </w:r>
    </w:p>
    <w:p w:rsidR="002B6C6E" w:rsidP="002B6C6E" w:rsidRDefault="002B6C6E" w14:paraId="217A2C01" w14:textId="77777777">
      <w:pPr>
        <w:pStyle w:val="ListParagraph"/>
      </w:pPr>
    </w:p>
    <w:p w:rsidR="002B6C6E" w:rsidP="002B6C6E" w:rsidRDefault="00DD5FEC" w14:paraId="22A7567A" w14:textId="272421AA">
      <w:pPr>
        <w:pStyle w:val="ListParagraph"/>
      </w:pPr>
      <w:r>
        <w:t xml:space="preserve">Whilst much of </w:t>
      </w:r>
      <w:proofErr w:type="spellStart"/>
      <w:r w:rsidR="002B6C6E">
        <w:t>Startins</w:t>
      </w:r>
      <w:proofErr w:type="spellEnd"/>
      <w:r>
        <w:t xml:space="preserve"> financial activity could be considered relatively low risk from the perspective of money laundering, all staff need to be vigilant against the financial crime and fraud risks that the </w:t>
      </w:r>
      <w:r w:rsidR="00954D7F">
        <w:t>company</w:t>
      </w:r>
      <w:r>
        <w:t xml:space="preserve"> faces day-to-day. </w:t>
      </w:r>
    </w:p>
    <w:p w:rsidR="002B6C6E" w:rsidP="002B6C6E" w:rsidRDefault="002B6C6E" w14:paraId="79D6CA09" w14:textId="77777777">
      <w:pPr>
        <w:pStyle w:val="ListParagraph"/>
      </w:pPr>
    </w:p>
    <w:p w:rsidR="002B6C6E" w:rsidP="002B6C6E" w:rsidRDefault="00DD5FEC" w14:paraId="01D673C7" w14:textId="27C02EA1">
      <w:pPr>
        <w:pStyle w:val="ListParagraph"/>
      </w:pPr>
      <w:r>
        <w:t xml:space="preserve">Possible signs of money laundering include: </w:t>
      </w:r>
    </w:p>
    <w:p w:rsidR="002B6C6E" w:rsidP="002B6C6E" w:rsidRDefault="002B6C6E" w14:paraId="12C9AA1D" w14:textId="77777777">
      <w:pPr>
        <w:pStyle w:val="ListParagraph"/>
      </w:pPr>
    </w:p>
    <w:p w:rsidR="002B6C6E" w:rsidP="002B6C6E" w:rsidRDefault="00DD5FEC" w14:paraId="323F8B59" w14:textId="5EB909EB">
      <w:pPr>
        <w:pStyle w:val="ListParagraph"/>
        <w:numPr>
          <w:ilvl w:val="0"/>
          <w:numId w:val="2"/>
        </w:numPr>
      </w:pPr>
      <w:r>
        <w:t xml:space="preserve">An individual or company makes a large unexpected payment to the </w:t>
      </w:r>
      <w:r w:rsidR="002B6C6E">
        <w:t>company</w:t>
      </w:r>
      <w:r>
        <w:t xml:space="preserve"> but fails to provide evidence confirming their identity and reason for payment.</w:t>
      </w:r>
    </w:p>
    <w:p w:rsidR="002B6C6E" w:rsidP="002B6C6E" w:rsidRDefault="00DD5FEC" w14:paraId="5CA47C17" w14:textId="28828546">
      <w:pPr>
        <w:pStyle w:val="ListParagraph"/>
        <w:ind w:left="1440"/>
      </w:pPr>
      <w:r>
        <w:t xml:space="preserve"> </w:t>
      </w:r>
    </w:p>
    <w:p w:rsidR="002B6C6E" w:rsidP="00BC10A9" w:rsidRDefault="00DD5FEC" w14:paraId="041C579D" w14:textId="3925168C">
      <w:pPr>
        <w:pStyle w:val="ListParagraph"/>
        <w:numPr>
          <w:ilvl w:val="0"/>
          <w:numId w:val="2"/>
        </w:numPr>
      </w:pPr>
      <w:r>
        <w:t xml:space="preserve">An individual or company attempts to engage in “circular transactions” where a payment is made to the </w:t>
      </w:r>
      <w:r w:rsidR="00BC10A9">
        <w:t>company</w:t>
      </w:r>
      <w:r>
        <w:t xml:space="preserve"> followed by an attempt to obtain a refund. For example, a </w:t>
      </w:r>
      <w:r w:rsidR="00BC10A9">
        <w:t>customer</w:t>
      </w:r>
      <w:r>
        <w:t xml:space="preserve"> pays a significant sum, then withdraws and seeks a refund. </w:t>
      </w:r>
    </w:p>
    <w:p w:rsidR="002B6C6E" w:rsidP="002B6C6E" w:rsidRDefault="002B6C6E" w14:paraId="4E934DCC" w14:textId="77777777">
      <w:pPr>
        <w:pStyle w:val="ListParagraph"/>
        <w:ind w:left="1440"/>
      </w:pPr>
    </w:p>
    <w:p w:rsidR="002B6C6E" w:rsidP="00BC10A9" w:rsidRDefault="00DD5FEC" w14:paraId="0C91985F" w14:textId="72C3DC3B">
      <w:pPr>
        <w:pStyle w:val="ListParagraph"/>
        <w:numPr>
          <w:ilvl w:val="0"/>
          <w:numId w:val="2"/>
        </w:numPr>
      </w:pPr>
      <w:r>
        <w:t xml:space="preserve">A person or company undertaking business with the </w:t>
      </w:r>
      <w:r w:rsidR="00BC10A9">
        <w:t>company</w:t>
      </w:r>
      <w:r>
        <w:t xml:space="preserve"> fails to provide proper paperwork (examples include charging VAT but failing to quote a VAT number or invoices purporting to come from a limited company, but lacking company registered office and number)</w:t>
      </w:r>
      <w:r w:rsidR="009475E5">
        <w:t>.</w:t>
      </w:r>
    </w:p>
    <w:p w:rsidR="002B6C6E" w:rsidP="002B6C6E" w:rsidRDefault="002B6C6E" w14:paraId="77582BB4" w14:textId="77777777">
      <w:pPr>
        <w:pStyle w:val="ListParagraph"/>
        <w:ind w:left="1440"/>
      </w:pPr>
    </w:p>
    <w:p w:rsidR="00BC10A9" w:rsidP="002B6C6E" w:rsidRDefault="00DD5FEC" w14:paraId="5554B056" w14:textId="77777777">
      <w:pPr>
        <w:pStyle w:val="ListParagraph"/>
        <w:numPr>
          <w:ilvl w:val="0"/>
          <w:numId w:val="2"/>
        </w:numPr>
      </w:pPr>
      <w:r>
        <w:t xml:space="preserve">Involvement of an unconnected third party in a contractual relationship without any logical explanation. </w:t>
      </w:r>
    </w:p>
    <w:p w:rsidR="00BC10A9" w:rsidP="00BC10A9" w:rsidRDefault="00DD5FEC" w14:paraId="2682207A" w14:textId="77777777">
      <w:pPr>
        <w:ind w:left="1080"/>
      </w:pPr>
      <w:r>
        <w:t>This list is not exhaustive and money laundering can take many forms.</w:t>
      </w:r>
    </w:p>
    <w:p w:rsidR="00E6035C" w:rsidP="00E6035C" w:rsidRDefault="00DD5FEC" w14:paraId="30E5C90E" w14:textId="7A5EE21E">
      <w:pPr>
        <w:ind w:left="1080"/>
      </w:pPr>
      <w:r>
        <w:t xml:space="preserve">If there are any concerns, then these should be raised with the Money laundering Reporting Officer. </w:t>
      </w:r>
    </w:p>
    <w:p w:rsidR="00BC10A9" w:rsidP="00BC10A9" w:rsidRDefault="00DD5FEC" w14:paraId="1C821E87" w14:textId="1BA7270B">
      <w:pPr>
        <w:pStyle w:val="ListParagraph"/>
        <w:numPr>
          <w:ilvl w:val="0"/>
          <w:numId w:val="1"/>
        </w:numPr>
        <w:rPr>
          <w:b/>
          <w:bCs/>
        </w:rPr>
      </w:pPr>
      <w:r w:rsidRPr="00BC10A9">
        <w:rPr>
          <w:b/>
          <w:bCs/>
        </w:rPr>
        <w:t xml:space="preserve">Risk Mitigation </w:t>
      </w:r>
    </w:p>
    <w:p w:rsidRPr="00BC10A9" w:rsidR="00066AD0" w:rsidP="00066AD0" w:rsidRDefault="00066AD0" w14:paraId="7691A36A" w14:textId="77777777">
      <w:pPr>
        <w:pStyle w:val="ListParagraph"/>
        <w:rPr>
          <w:b/>
          <w:bCs/>
        </w:rPr>
      </w:pPr>
    </w:p>
    <w:p w:rsidR="00584051" w:rsidP="00BC10A9" w:rsidRDefault="00BC10A9" w14:paraId="098FAD1C" w14:textId="24E47616">
      <w:pPr>
        <w:pStyle w:val="ListParagraph"/>
      </w:pPr>
      <w:proofErr w:type="spellStart"/>
      <w:r>
        <w:t>Startins</w:t>
      </w:r>
      <w:proofErr w:type="spellEnd"/>
      <w:r w:rsidR="00DD5FEC">
        <w:t xml:space="preserve"> has a number of policies and procedures in place to minimise the risk of money laundering</w:t>
      </w:r>
      <w:r w:rsidR="00046729">
        <w:t>.</w:t>
      </w:r>
    </w:p>
    <w:p w:rsidR="00584051" w:rsidP="00BC10A9" w:rsidRDefault="00584051" w14:paraId="1902A129" w14:textId="77777777">
      <w:pPr>
        <w:pStyle w:val="ListParagraph"/>
      </w:pPr>
    </w:p>
    <w:p w:rsidR="00584051" w:rsidP="00584051" w:rsidRDefault="00DD5FEC" w14:paraId="6F131036" w14:textId="6EA58340">
      <w:pPr>
        <w:pStyle w:val="ListParagraph"/>
        <w:numPr>
          <w:ilvl w:val="0"/>
          <w:numId w:val="1"/>
        </w:numPr>
      </w:pPr>
      <w:r w:rsidRPr="00584051">
        <w:rPr>
          <w:b/>
          <w:bCs/>
        </w:rPr>
        <w:t>Unusual or Large payments</w:t>
      </w:r>
      <w:r>
        <w:t xml:space="preserve"> </w:t>
      </w:r>
    </w:p>
    <w:p w:rsidR="00066AD0" w:rsidP="00066AD0" w:rsidRDefault="00066AD0" w14:paraId="5EA93019" w14:textId="77777777">
      <w:pPr>
        <w:pStyle w:val="ListParagraph"/>
      </w:pPr>
    </w:p>
    <w:p w:rsidR="00D50A01" w:rsidP="00584051" w:rsidRDefault="00DD5FEC" w14:paraId="704973CB" w14:textId="3E5233D4">
      <w:pPr>
        <w:pStyle w:val="ListParagraph"/>
      </w:pPr>
      <w:r>
        <w:t xml:space="preserve">The </w:t>
      </w:r>
      <w:r w:rsidR="00584051">
        <w:t>company</w:t>
      </w:r>
      <w:r>
        <w:t xml:space="preserve"> will investigate and establish what the</w:t>
      </w:r>
      <w:r w:rsidR="00253DC0">
        <w:t xml:space="preserve"> unusual or large payments</w:t>
      </w:r>
      <w:r>
        <w:t xml:space="preserve"> are for. The </w:t>
      </w:r>
      <w:r w:rsidR="00253DC0">
        <w:t>companies’</w:t>
      </w:r>
      <w:r>
        <w:t xml:space="preserve"> bankers also advise on </w:t>
      </w:r>
      <w:r w:rsidR="009475E5">
        <w:t>high-risk</w:t>
      </w:r>
      <w:r>
        <w:t xml:space="preserve"> countries where financial transactions are either prohibited or heavily restricted.</w:t>
      </w:r>
      <w:r w:rsidR="00580B9A">
        <w:t xml:space="preserve"> For a list of these countries please refer to our bank</w:t>
      </w:r>
      <w:r w:rsidR="00046729">
        <w:t>s</w:t>
      </w:r>
      <w:r w:rsidR="00580B9A">
        <w:t xml:space="preserve"> restricted countries list</w:t>
      </w:r>
      <w:r w:rsidR="00D50A01">
        <w:t>.</w:t>
      </w:r>
    </w:p>
    <w:p w:rsidR="00584051" w:rsidP="00584051" w:rsidRDefault="0064027D" w14:paraId="482B6AC0" w14:textId="0E61CA03">
      <w:pPr>
        <w:pStyle w:val="ListParagraph"/>
      </w:pPr>
      <w:hyperlink w:history="1" r:id="rId9">
        <w:r w:rsidRPr="00C84C5F" w:rsidR="00283A68">
          <w:rPr>
            <w:rStyle w:val="Hyperlink"/>
          </w:rPr>
          <w:t>https://www.handelsbanken.co.uk/en/individual/current-accounts-and-cards/payments</w:t>
        </w:r>
      </w:hyperlink>
    </w:p>
    <w:p w:rsidR="00514E32" w:rsidP="00584051" w:rsidRDefault="00514E32" w14:paraId="28CC7E6D" w14:textId="77777777">
      <w:pPr>
        <w:pStyle w:val="ListParagraph"/>
      </w:pPr>
    </w:p>
    <w:p w:rsidR="00584051" w:rsidP="00584051" w:rsidRDefault="00584051" w14:paraId="74768C8D" w14:textId="77777777">
      <w:pPr>
        <w:pStyle w:val="ListParagraph"/>
      </w:pPr>
    </w:p>
    <w:p w:rsidR="002A4414" w:rsidP="002A4414" w:rsidRDefault="00DD5FEC" w14:paraId="4283B919" w14:textId="0E3F4915">
      <w:pPr>
        <w:pStyle w:val="ListParagraph"/>
        <w:numPr>
          <w:ilvl w:val="0"/>
          <w:numId w:val="1"/>
        </w:numPr>
      </w:pPr>
      <w:r w:rsidRPr="00580B9A">
        <w:rPr>
          <w:b/>
          <w:bCs/>
        </w:rPr>
        <w:t xml:space="preserve"> Cash Thresholds</w:t>
      </w:r>
      <w:r>
        <w:t xml:space="preserve"> </w:t>
      </w:r>
    </w:p>
    <w:p w:rsidR="002A4414" w:rsidP="002A4414" w:rsidRDefault="002A4414" w14:paraId="2CE360E1" w14:textId="77777777">
      <w:pPr>
        <w:pStyle w:val="ListParagraph"/>
      </w:pPr>
    </w:p>
    <w:p w:rsidR="002A4414" w:rsidP="00580B9A" w:rsidRDefault="00DD5FEC" w14:paraId="2B8669CB" w14:textId="50435ECA">
      <w:pPr>
        <w:pStyle w:val="ListParagraph"/>
      </w:pPr>
      <w:r>
        <w:t xml:space="preserve">MLR 2017 has reduced the limit for eligible cash transactions from €15,000 [ £13,000] to €10,000 [£8,800] and is extended to receiving, as well as making, payments in cash. In the light of this and the security risk of carrying large amounts of cash, </w:t>
      </w:r>
      <w:proofErr w:type="spellStart"/>
      <w:r w:rsidR="00580B9A">
        <w:t>Startins</w:t>
      </w:r>
      <w:proofErr w:type="spellEnd"/>
      <w:r w:rsidR="00580B9A">
        <w:t xml:space="preserve"> </w:t>
      </w:r>
      <w:r>
        <w:t xml:space="preserve">will </w:t>
      </w:r>
      <w:r w:rsidR="00580B9A">
        <w:t>only</w:t>
      </w:r>
      <w:r>
        <w:t xml:space="preserve"> accept cash payments </w:t>
      </w:r>
      <w:r w:rsidR="00253DC0">
        <w:t xml:space="preserve">up </w:t>
      </w:r>
      <w:r w:rsidR="00580B9A">
        <w:t>to the sum of £5000</w:t>
      </w:r>
      <w:r>
        <w:t>.</w:t>
      </w:r>
      <w:r w:rsidR="00580B9A">
        <w:t xml:space="preserve"> Th</w:t>
      </w:r>
      <w:r w:rsidR="002A4414">
        <w:t>e sum of £5000 relates to a single sale. Therefore</w:t>
      </w:r>
      <w:r w:rsidR="00181FED">
        <w:t>,</w:t>
      </w:r>
      <w:r w:rsidR="002A4414">
        <w:t xml:space="preserve"> a deposit of £250 and a final payment of £5000 also in cash, breaks the rules</w:t>
      </w:r>
      <w:r w:rsidR="00066AD0">
        <w:t>.</w:t>
      </w:r>
    </w:p>
    <w:p w:rsidR="007D70BC" w:rsidP="00580B9A" w:rsidRDefault="007D70BC" w14:paraId="20A8F3C6" w14:textId="0C9CB5D8">
      <w:pPr>
        <w:pStyle w:val="ListParagraph"/>
      </w:pPr>
    </w:p>
    <w:p w:rsidR="007D70BC" w:rsidP="00580B9A" w:rsidRDefault="00066AD0" w14:paraId="72F8DACF" w14:textId="2853FC26">
      <w:pPr>
        <w:pStyle w:val="ListParagraph"/>
      </w:pPr>
      <w:r>
        <w:t>The above rule is mandatory and any employee</w:t>
      </w:r>
      <w:r w:rsidR="007D70BC">
        <w:t xml:space="preserve"> who </w:t>
      </w:r>
      <w:r>
        <w:t>accepts more that £5000 from a customer, without authority from the MRLO will be subject to disciplinary action in line with the company’s disciplinary procedures</w:t>
      </w:r>
    </w:p>
    <w:p w:rsidR="009521D0" w:rsidP="00580B9A" w:rsidRDefault="009521D0" w14:paraId="38FCF9E6" w14:textId="5C0BB9F4">
      <w:pPr>
        <w:pStyle w:val="ListParagraph"/>
      </w:pPr>
    </w:p>
    <w:p w:rsidR="009521D0" w:rsidP="00580B9A" w:rsidRDefault="009521D0" w14:paraId="48E9B7D5" w14:textId="7AE5D998">
      <w:pPr>
        <w:pStyle w:val="ListParagraph"/>
      </w:pPr>
      <w:r>
        <w:t>Staff who collect cash payments are asked to provide the details of any cash transaction over £5,000 to the MLRO so that precautionary checks can be performed.</w:t>
      </w:r>
    </w:p>
    <w:p w:rsidR="002A4414" w:rsidP="00580B9A" w:rsidRDefault="002A4414" w14:paraId="1E25AD08" w14:textId="77777777">
      <w:pPr>
        <w:pStyle w:val="ListParagraph"/>
      </w:pPr>
    </w:p>
    <w:p w:rsidR="002A4414" w:rsidP="002A4414" w:rsidRDefault="00DD5FEC" w14:paraId="06597C96" w14:textId="266BC1A2">
      <w:pPr>
        <w:pStyle w:val="ListParagraph"/>
        <w:numPr>
          <w:ilvl w:val="0"/>
          <w:numId w:val="1"/>
        </w:numPr>
        <w:rPr>
          <w:b/>
          <w:bCs/>
        </w:rPr>
      </w:pPr>
      <w:r w:rsidRPr="002A4414">
        <w:rPr>
          <w:b/>
          <w:bCs/>
        </w:rPr>
        <w:t xml:space="preserve">Know Your Customer /Supplier </w:t>
      </w:r>
    </w:p>
    <w:p w:rsidRPr="002A4414" w:rsidR="002A4414" w:rsidP="002A4414" w:rsidRDefault="002A4414" w14:paraId="0EF02066" w14:textId="77777777">
      <w:pPr>
        <w:pStyle w:val="ListParagraph"/>
        <w:rPr>
          <w:b/>
          <w:bCs/>
        </w:rPr>
      </w:pPr>
    </w:p>
    <w:p w:rsidR="00D85B4C" w:rsidP="00D85B4C" w:rsidRDefault="00DD5FEC" w14:paraId="0A0B80DF" w14:textId="618304B9">
      <w:pPr>
        <w:pStyle w:val="ListParagraph"/>
      </w:pPr>
      <w:r>
        <w:t xml:space="preserve">Anti- Money Laundering Regulations requires that the </w:t>
      </w:r>
      <w:r w:rsidR="002A4414">
        <w:t>company</w:t>
      </w:r>
      <w:r>
        <w:t xml:space="preserve"> must be reasonably satisfied as to the identity of the customer (and others) that they are engaging with in a contractual relationship. To discharge the “reasonably satisfied” the </w:t>
      </w:r>
      <w:r w:rsidR="002A4414">
        <w:t xml:space="preserve">company </w:t>
      </w:r>
      <w:r>
        <w:t xml:space="preserve">must obtain a minimum level of personal information from a customer including date of birth and home address. For third parties’ letters or documents proving name, address and relationship should be obtained. </w:t>
      </w:r>
    </w:p>
    <w:p w:rsidR="00D85B4C" w:rsidP="00D85B4C" w:rsidRDefault="00D85B4C" w14:paraId="322426DF" w14:textId="77777777">
      <w:pPr>
        <w:pStyle w:val="ListParagraph"/>
      </w:pPr>
    </w:p>
    <w:p w:rsidR="00D85B4C" w:rsidP="00D85B4C" w:rsidRDefault="00D85B4C" w14:paraId="48137F21" w14:textId="692AF913">
      <w:pPr>
        <w:pStyle w:val="ListParagraph"/>
      </w:pPr>
      <w:r>
        <w:t>I</w:t>
      </w:r>
      <w:r w:rsidR="00DD5FEC">
        <w:t xml:space="preserve">f an organisation is not known to the </w:t>
      </w:r>
      <w:r w:rsidR="009475E5">
        <w:t>company,</w:t>
      </w:r>
      <w:r w:rsidR="00DD5FEC">
        <w:t xml:space="preserve"> then Letter Headed documents, website and credit checks should be undertaken as appropriate. </w:t>
      </w:r>
    </w:p>
    <w:p w:rsidR="00D85B4C" w:rsidP="00D85B4C" w:rsidRDefault="00D85B4C" w14:paraId="52EB0045" w14:textId="77777777">
      <w:pPr>
        <w:pStyle w:val="ListParagraph"/>
      </w:pPr>
    </w:p>
    <w:p w:rsidR="00D85B4C" w:rsidP="00D85B4C" w:rsidRDefault="00DD5FEC" w14:paraId="5089DA0C" w14:textId="79DD3EB7">
      <w:pPr>
        <w:pStyle w:val="ListParagraph"/>
      </w:pPr>
      <w:r>
        <w:t xml:space="preserve">The </w:t>
      </w:r>
      <w:r w:rsidR="00D85B4C">
        <w:t>company</w:t>
      </w:r>
      <w:r>
        <w:t xml:space="preserve"> must be clear on the purpose and the intended nature of the business relationship </w:t>
      </w:r>
      <w:r w:rsidR="00D679B9">
        <w:t>i.e.,</w:t>
      </w:r>
      <w:r>
        <w:t xml:space="preserve"> knowing what you are doing with them and why.</w:t>
      </w:r>
    </w:p>
    <w:p w:rsidR="00D85B4C" w:rsidP="00D85B4C" w:rsidRDefault="00D85B4C" w14:paraId="460D791E" w14:textId="77777777">
      <w:pPr>
        <w:pStyle w:val="ListParagraph"/>
      </w:pPr>
    </w:p>
    <w:p w:rsidR="00D85B4C" w:rsidP="00D85B4C" w:rsidRDefault="00DD5FEC" w14:paraId="3EBB909B" w14:textId="77777777">
      <w:pPr>
        <w:pStyle w:val="ListParagraph"/>
      </w:pPr>
      <w:r>
        <w:t xml:space="preserve">In most cases </w:t>
      </w:r>
      <w:proofErr w:type="spellStart"/>
      <w:r w:rsidR="00D85B4C">
        <w:t>Startins</w:t>
      </w:r>
      <w:proofErr w:type="spellEnd"/>
      <w:r>
        <w:t xml:space="preserve"> exposure to money laundering is likely to be low. However, in certain instances if the </w:t>
      </w:r>
      <w:r w:rsidR="00D85B4C">
        <w:t>company</w:t>
      </w:r>
      <w:r>
        <w:t xml:space="preserve"> is considering establishing a business relationship in a high-risk country or with a politically exposed person, then appropriate advice should be taken from the Money Laundering officer (MLRO) pre entering the arrangement. </w:t>
      </w:r>
    </w:p>
    <w:p w:rsidR="00D85B4C" w:rsidP="00D85B4C" w:rsidRDefault="00D85B4C" w14:paraId="7A8390F3" w14:textId="77777777">
      <w:pPr>
        <w:pStyle w:val="ListParagraph"/>
      </w:pPr>
    </w:p>
    <w:p w:rsidR="00D85B4C" w:rsidP="00D85B4C" w:rsidRDefault="00DD5FEC" w14:paraId="3E516A51" w14:textId="6546EE4D">
      <w:pPr>
        <w:pStyle w:val="ListParagraph"/>
        <w:numPr>
          <w:ilvl w:val="0"/>
          <w:numId w:val="1"/>
        </w:numPr>
      </w:pPr>
      <w:r w:rsidRPr="00D85B4C">
        <w:rPr>
          <w:b/>
          <w:bCs/>
        </w:rPr>
        <w:t>Processing Refunds</w:t>
      </w:r>
      <w:r>
        <w:t xml:space="preserve"> </w:t>
      </w:r>
    </w:p>
    <w:p w:rsidR="00D85B4C" w:rsidP="00D85B4C" w:rsidRDefault="00D85B4C" w14:paraId="41F0E760" w14:textId="77777777">
      <w:pPr>
        <w:pStyle w:val="ListParagraph"/>
      </w:pPr>
    </w:p>
    <w:p w:rsidR="00D85B4C" w:rsidP="00D85B4C" w:rsidRDefault="00DD5FEC" w14:paraId="7A155898" w14:textId="3E047F89">
      <w:pPr>
        <w:pStyle w:val="ListParagraph"/>
      </w:pPr>
      <w:r>
        <w:t xml:space="preserve">The </w:t>
      </w:r>
      <w:r w:rsidR="00D85B4C">
        <w:t>company</w:t>
      </w:r>
      <w:r>
        <w:t xml:space="preserve"> will undertake appropriate checks before processing any refunds and funds can only be refunded back to the original payer and cannot be refunded to a third party. Where the original payment has been received from abroad the refund will be to the foreign bank account and not to a UK bank account. </w:t>
      </w:r>
    </w:p>
    <w:p w:rsidR="00CE1248" w:rsidP="00D85B4C" w:rsidRDefault="00CE1248" w14:paraId="4D9D8AFA" w14:textId="2FE97B5A">
      <w:pPr>
        <w:pStyle w:val="ListParagraph"/>
      </w:pPr>
    </w:p>
    <w:p w:rsidR="00CE1248" w:rsidP="00D85B4C" w:rsidRDefault="00CE1248" w14:paraId="2B2E0011" w14:textId="77777777">
      <w:pPr>
        <w:pStyle w:val="ListParagraph"/>
      </w:pPr>
    </w:p>
    <w:p w:rsidR="00D85B4C" w:rsidP="00D85B4C" w:rsidRDefault="00D85B4C" w14:paraId="0CBF1435" w14:textId="1976EB34">
      <w:pPr>
        <w:pStyle w:val="ListParagraph"/>
      </w:pPr>
    </w:p>
    <w:p w:rsidR="004E0DBA" w:rsidP="004E0DBA" w:rsidRDefault="00D85B4C" w14:paraId="48812481" w14:textId="2480BF1B">
      <w:pPr>
        <w:pStyle w:val="ListParagraph"/>
      </w:pPr>
      <w:r>
        <w:lastRenderedPageBreak/>
        <w:t>All card refunds should be</w:t>
      </w:r>
      <w:r w:rsidR="000E635D">
        <w:t xml:space="preserve"> processed on the card terminal by a senior manager. Only managers should have access to the </w:t>
      </w:r>
      <w:r w:rsidR="00D679B9">
        <w:t>terminal</w:t>
      </w:r>
      <w:r w:rsidR="000E635D">
        <w:t xml:space="preserve"> password. Card refunds should only be refunded onto the card the original payment was taken on.</w:t>
      </w:r>
    </w:p>
    <w:p w:rsidR="004E0DBA" w:rsidP="004E0DBA" w:rsidRDefault="004E0DBA" w14:paraId="7A304652" w14:textId="77777777">
      <w:pPr>
        <w:pStyle w:val="ListParagraph"/>
      </w:pPr>
    </w:p>
    <w:p w:rsidR="004E0DBA" w:rsidP="00D85B4C" w:rsidRDefault="004E0DBA" w14:paraId="5EBF7863" w14:textId="1F42ABC0">
      <w:pPr>
        <w:pStyle w:val="ListParagraph"/>
      </w:pPr>
      <w:r>
        <w:t>Card refunds should only be processed onto the card the original payment was taken on.</w:t>
      </w:r>
    </w:p>
    <w:p w:rsidR="00B80416" w:rsidP="00D85B4C" w:rsidRDefault="00B80416" w14:paraId="6EA10637" w14:textId="77777777">
      <w:pPr>
        <w:pStyle w:val="ListParagraph"/>
      </w:pPr>
    </w:p>
    <w:p w:rsidR="009521D0" w:rsidP="00EA3950" w:rsidRDefault="009521D0" w14:paraId="01F69C4A" w14:textId="3DB3B54D">
      <w:pPr>
        <w:pStyle w:val="ListParagraph"/>
      </w:pPr>
      <w:r>
        <w:t xml:space="preserve">All BACS/CHAPS refunds must be requested by completing the relevant payment request </w:t>
      </w:r>
      <w:r w:rsidR="009A5A0E">
        <w:t>paperwork</w:t>
      </w:r>
      <w:r>
        <w:t xml:space="preserve"> and following the </w:t>
      </w:r>
      <w:r w:rsidR="009A5A0E">
        <w:t>current Payment Request P</w:t>
      </w:r>
      <w:r>
        <w:t>rocess</w:t>
      </w:r>
      <w:r w:rsidR="009A5A0E">
        <w:t>.</w:t>
      </w:r>
    </w:p>
    <w:p w:rsidR="00EA3950" w:rsidP="00EA3950" w:rsidRDefault="00EA3950" w14:paraId="323F11EE" w14:textId="77777777">
      <w:pPr>
        <w:pStyle w:val="ListParagraph"/>
      </w:pPr>
    </w:p>
    <w:p w:rsidR="009521D0" w:rsidP="009521D0" w:rsidRDefault="009521D0" w14:paraId="55B7C2C1" w14:textId="122E8C0A">
      <w:pPr>
        <w:pStyle w:val="ListParagraph"/>
      </w:pPr>
      <w:r>
        <w:t xml:space="preserve">Any employee who </w:t>
      </w:r>
      <w:r w:rsidR="00283A68">
        <w:t>attempts to by</w:t>
      </w:r>
      <w:r>
        <w:t>pass the above process, without authority from the MRLO will be subject to disciplinary action in line with the company’s disciplinary procedures.</w:t>
      </w:r>
    </w:p>
    <w:p w:rsidR="009521D0" w:rsidP="00D85B4C" w:rsidRDefault="009521D0" w14:paraId="7B1452C1" w14:textId="77777777">
      <w:pPr>
        <w:pStyle w:val="ListParagraph"/>
      </w:pPr>
    </w:p>
    <w:p w:rsidR="000E635D" w:rsidP="00D85B4C" w:rsidRDefault="000E635D" w14:paraId="6601ED64" w14:textId="72FCF037">
      <w:pPr>
        <w:pStyle w:val="ListParagraph"/>
      </w:pPr>
    </w:p>
    <w:p w:rsidR="000E635D" w:rsidP="000E635D" w:rsidRDefault="000E635D" w14:paraId="6C98547B" w14:textId="424D92E9">
      <w:pPr>
        <w:pStyle w:val="ListParagraph"/>
        <w:numPr>
          <w:ilvl w:val="0"/>
          <w:numId w:val="1"/>
        </w:numPr>
        <w:rPr>
          <w:b/>
          <w:bCs/>
        </w:rPr>
      </w:pPr>
      <w:r w:rsidRPr="000E635D">
        <w:rPr>
          <w:b/>
          <w:bCs/>
        </w:rPr>
        <w:t>Card Payments</w:t>
      </w:r>
    </w:p>
    <w:p w:rsidR="000E635D" w:rsidP="000E635D" w:rsidRDefault="000E635D" w14:paraId="4E1D1D8F" w14:textId="4E03E265">
      <w:pPr>
        <w:pStyle w:val="ListParagraph"/>
        <w:rPr>
          <w:b/>
          <w:bCs/>
        </w:rPr>
      </w:pPr>
    </w:p>
    <w:p w:rsidR="009521D0" w:rsidP="009521D0" w:rsidRDefault="003A3C94" w14:paraId="4A5A1767" w14:textId="70DA0247">
      <w:pPr>
        <w:pStyle w:val="ListParagraph"/>
      </w:pPr>
      <w:r>
        <w:t>For all departments the</w:t>
      </w:r>
      <w:r w:rsidR="000E635D">
        <w:t xml:space="preserve"> maximum amount that the company will accept on credit card is £500</w:t>
      </w:r>
      <w:r w:rsidR="005712A8">
        <w:t>. Payments above this threshold will require</w:t>
      </w:r>
      <w:r w:rsidR="00BD6962">
        <w:t xml:space="preserve"> </w:t>
      </w:r>
      <w:r w:rsidR="00DB707A">
        <w:t>authorisation from a manager prior to the transaction being completed.</w:t>
      </w:r>
      <w:r w:rsidR="00EA318B">
        <w:t xml:space="preserve"> The sum of £500 relates to a single sale. Therefore</w:t>
      </w:r>
      <w:r w:rsidR="00333275">
        <w:t>,</w:t>
      </w:r>
      <w:r w:rsidR="00EA318B">
        <w:t xml:space="preserve"> </w:t>
      </w:r>
      <w:r w:rsidR="00286A73">
        <w:t>taking multiple payments on the one card or spreading the value across multiple cards is against the rules.</w:t>
      </w:r>
    </w:p>
    <w:p w:rsidR="00F75D69" w:rsidP="009521D0" w:rsidRDefault="00F75D69" w14:paraId="3EE570F5" w14:textId="032B2F3D">
      <w:pPr>
        <w:pStyle w:val="ListParagraph"/>
      </w:pPr>
    </w:p>
    <w:p w:rsidR="00333275" w:rsidP="003A3C94" w:rsidRDefault="003A3C94" w14:paraId="0650EA80" w14:textId="4DF67723">
      <w:pPr>
        <w:pStyle w:val="ListParagraph"/>
      </w:pPr>
      <w:r w:rsidRPr="003A3C94">
        <w:rPr>
          <w:b/>
          <w:bCs/>
        </w:rPr>
        <w:t>Sales Dep</w:t>
      </w:r>
      <w:r>
        <w:rPr>
          <w:b/>
          <w:bCs/>
        </w:rPr>
        <w:t>artment</w:t>
      </w:r>
      <w:r>
        <w:t xml:space="preserve">: - </w:t>
      </w:r>
      <w:r w:rsidR="00F75D69">
        <w:t>The maximum amount that the company will accept on debit</w:t>
      </w:r>
      <w:r w:rsidR="00AA4E2A">
        <w:t xml:space="preserve"> </w:t>
      </w:r>
      <w:r w:rsidR="00F75D69">
        <w:t>card where the c</w:t>
      </w:r>
      <w:r w:rsidR="00AA4E2A">
        <w:t>ard is not present is £</w:t>
      </w:r>
      <w:r>
        <w:t>5</w:t>
      </w:r>
      <w:r w:rsidR="00AA4E2A">
        <w:t>00</w:t>
      </w:r>
      <w:r w:rsidR="005712A8">
        <w:t>.</w:t>
      </w:r>
      <w:r w:rsidRPr="00DB707A" w:rsidR="00DB707A">
        <w:t xml:space="preserve"> </w:t>
      </w:r>
      <w:r w:rsidR="00430CDC">
        <w:t>Payments above this threshold will require authorisation from a manager prior to the transaction being completed.</w:t>
      </w:r>
      <w:r w:rsidR="00EA318B">
        <w:t xml:space="preserve"> The sum of £</w:t>
      </w:r>
      <w:r>
        <w:t>5</w:t>
      </w:r>
      <w:r w:rsidR="00EA318B">
        <w:t xml:space="preserve">00 relates to a single sale. </w:t>
      </w:r>
      <w:r w:rsidR="00333275">
        <w:t>Therefore, taking multiple payments on the one card or spreading the value across multiple cards is against the rules.</w:t>
      </w:r>
      <w:r>
        <w:t xml:space="preserve"> All transactions must be verified by inputting the postcode of the card holder into the terminal when prompted.</w:t>
      </w:r>
    </w:p>
    <w:p w:rsidR="003A3C94" w:rsidP="003A3C94" w:rsidRDefault="003A3C94" w14:paraId="3CEE96E7" w14:textId="281FF65C">
      <w:pPr>
        <w:pStyle w:val="ListParagraph"/>
      </w:pPr>
    </w:p>
    <w:p w:rsidR="003A3C94" w:rsidP="003A3C94" w:rsidRDefault="003A3C94" w14:paraId="6D3AE41D" w14:textId="0B6A3794">
      <w:pPr>
        <w:pStyle w:val="ListParagraph"/>
      </w:pPr>
      <w:r w:rsidRPr="003A3C94">
        <w:rPr>
          <w:b/>
          <w:bCs/>
        </w:rPr>
        <w:t>Service Department:</w:t>
      </w:r>
      <w:r>
        <w:t xml:space="preserve"> - </w:t>
      </w:r>
      <w:r>
        <w:t>The maximum amount that the company will accept on debit card where the card is not present is £</w:t>
      </w:r>
      <w:r>
        <w:t>10</w:t>
      </w:r>
      <w:r>
        <w:t>00.</w:t>
      </w:r>
      <w:r w:rsidRPr="00DB707A">
        <w:t xml:space="preserve"> </w:t>
      </w:r>
      <w:r>
        <w:t>Payments above this threshold will require authorisation from a manager prior to the transaction being completed. The sum of £</w:t>
      </w:r>
      <w:r>
        <w:t>10</w:t>
      </w:r>
      <w:r>
        <w:t>00 relates to a single sale. Therefore, taking multiple payments on the one card or spreading the value across multiple cards is against the rules.</w:t>
      </w:r>
      <w:r w:rsidRPr="003A3C94">
        <w:t xml:space="preserve"> </w:t>
      </w:r>
      <w:r>
        <w:t>All transactions must be verified by inputting the postcode of the card holder into the terminal when prompted.</w:t>
      </w:r>
    </w:p>
    <w:p w:rsidR="003A3C94" w:rsidP="003A3C94" w:rsidRDefault="003A3C94" w14:paraId="04E2EBD5" w14:textId="77777777">
      <w:pPr>
        <w:pStyle w:val="ListParagraph"/>
      </w:pPr>
    </w:p>
    <w:p w:rsidR="003A3C94" w:rsidP="003A3C94" w:rsidRDefault="003A3C94" w14:paraId="406D5C80" w14:textId="2EFDB089">
      <w:pPr>
        <w:pStyle w:val="ListParagraph"/>
      </w:pPr>
      <w:r>
        <w:rPr>
          <w:b/>
          <w:bCs/>
        </w:rPr>
        <w:t>Parts</w:t>
      </w:r>
      <w:r w:rsidRPr="003A3C94">
        <w:rPr>
          <w:b/>
          <w:bCs/>
        </w:rPr>
        <w:t xml:space="preserve"> Department:</w:t>
      </w:r>
      <w:r>
        <w:t xml:space="preserve"> - The maximum amount that the company will accept on debit card where the card is not present is £</w:t>
      </w:r>
      <w:r>
        <w:t>5</w:t>
      </w:r>
      <w:r>
        <w:t>00.</w:t>
      </w:r>
      <w:r w:rsidRPr="00DB707A">
        <w:t xml:space="preserve"> </w:t>
      </w:r>
      <w:r>
        <w:t>Payments above this threshold will require authorisation from a manager prior to the transaction being completed. The sum of £</w:t>
      </w:r>
      <w:r>
        <w:t>5</w:t>
      </w:r>
      <w:r>
        <w:t>00 relates to a single sale. Therefore, taking multiple payments on the one card or spreading the value across multiple cards is against the rules.</w:t>
      </w:r>
      <w:r w:rsidRPr="003A3C94">
        <w:t xml:space="preserve"> </w:t>
      </w:r>
      <w:r>
        <w:t>All transactions must be verified by inputting the postcode of the card holder into the terminal when prompted.</w:t>
      </w:r>
    </w:p>
    <w:p w:rsidR="003A3C94" w:rsidP="003A3C94" w:rsidRDefault="003A3C94" w14:paraId="0206B13B" w14:textId="3E827CE2">
      <w:pPr>
        <w:pStyle w:val="ListParagraph"/>
      </w:pPr>
    </w:p>
    <w:p w:rsidR="003A3C94" w:rsidP="003A3C94" w:rsidRDefault="003A3C94" w14:paraId="6D44C356" w14:textId="77777777">
      <w:pPr>
        <w:pStyle w:val="ListParagraph"/>
      </w:pPr>
    </w:p>
    <w:p w:rsidR="00EA318B" w:rsidP="00EA318B" w:rsidRDefault="00EA318B" w14:paraId="097C07A4" w14:textId="6940D98F">
      <w:pPr>
        <w:pStyle w:val="ListParagraph"/>
      </w:pPr>
    </w:p>
    <w:p w:rsidR="005712A8" w:rsidP="00EA318B" w:rsidRDefault="00BD6962" w14:paraId="7720A80B" w14:textId="0F0D3A23">
      <w:pPr>
        <w:pStyle w:val="ListParagraph"/>
      </w:pPr>
      <w:r>
        <w:t>Any employee who does not adhere to the above will be subject to disciplinary action in line with the company’s disciplinary procedures.</w:t>
      </w:r>
    </w:p>
    <w:p w:rsidR="00BD6962" w:rsidP="000E635D" w:rsidRDefault="00BD6962" w14:paraId="6797215C" w14:textId="77777777">
      <w:pPr>
        <w:pStyle w:val="ListParagraph"/>
      </w:pPr>
    </w:p>
    <w:p w:rsidR="00827868" w:rsidP="00827868" w:rsidRDefault="00827868" w14:paraId="057BF11D" w14:textId="7F5177D7">
      <w:pPr>
        <w:pStyle w:val="ListParagraph"/>
        <w:numPr>
          <w:ilvl w:val="0"/>
          <w:numId w:val="1"/>
        </w:numPr>
        <w:rPr>
          <w:b/>
          <w:bCs/>
        </w:rPr>
      </w:pPr>
      <w:r w:rsidRPr="00827868">
        <w:rPr>
          <w:b/>
          <w:bCs/>
        </w:rPr>
        <w:lastRenderedPageBreak/>
        <w:t>Cheque Payments</w:t>
      </w:r>
    </w:p>
    <w:p w:rsidR="00827868" w:rsidP="00827868" w:rsidRDefault="00827868" w14:paraId="736F6B23" w14:textId="146E1D9F">
      <w:pPr>
        <w:pStyle w:val="ListParagraph"/>
        <w:rPr>
          <w:b/>
          <w:bCs/>
        </w:rPr>
      </w:pPr>
    </w:p>
    <w:p w:rsidR="00827868" w:rsidP="00827868" w:rsidRDefault="00827868" w14:paraId="32FF3395" w14:textId="318CA815">
      <w:pPr>
        <w:pStyle w:val="ListParagraph"/>
      </w:pPr>
      <w:r w:rsidRPr="00075A14">
        <w:t xml:space="preserve">If </w:t>
      </w:r>
      <w:r w:rsidRPr="00075A14" w:rsidR="00181FED">
        <w:t>necessary,</w:t>
      </w:r>
      <w:r w:rsidRPr="00075A14">
        <w:t xml:space="preserve"> employees can accept cheque payments from customers. </w:t>
      </w:r>
      <w:r w:rsidRPr="00075A14" w:rsidR="00181FED">
        <w:t>Bankers’</w:t>
      </w:r>
      <w:r w:rsidRPr="00075A14">
        <w:t xml:space="preserve"> drafts are acceptable</w:t>
      </w:r>
      <w:r w:rsidRPr="00075A14" w:rsidR="00075A14">
        <w:t xml:space="preserve"> methods of payment with no restrictions. However, if a customer wishes to pay by personal cheque 10 working days must be allowed before the release of any </w:t>
      </w:r>
      <w:r w:rsidR="00075A14">
        <w:t>asset.</w:t>
      </w:r>
    </w:p>
    <w:p w:rsidR="00075A14" w:rsidP="00827868" w:rsidRDefault="00075A14" w14:paraId="6EF5F6E6" w14:textId="6D0DD4EE">
      <w:pPr>
        <w:pStyle w:val="ListParagraph"/>
      </w:pPr>
    </w:p>
    <w:p w:rsidR="00075A14" w:rsidP="00EE453A" w:rsidRDefault="00075A14" w14:paraId="70BCE566" w14:textId="1AC18BA1">
      <w:pPr>
        <w:pStyle w:val="ListParagraph"/>
      </w:pPr>
      <w:r>
        <w:t xml:space="preserve">Confirmation can be achieved by contacting the accounts department. In the instance where cheques are rejected by </w:t>
      </w:r>
      <w:r w:rsidR="00EE453A">
        <w:t>the</w:t>
      </w:r>
      <w:r>
        <w:t xml:space="preserve"> bank</w:t>
      </w:r>
      <w:r w:rsidR="00312E5B">
        <w:t>,</w:t>
      </w:r>
      <w:r w:rsidR="00EE453A">
        <w:t xml:space="preserve"> </w:t>
      </w:r>
      <w:r>
        <w:t>accounts</w:t>
      </w:r>
      <w:r w:rsidR="00EE453A">
        <w:t xml:space="preserve"> staff</w:t>
      </w:r>
      <w:r>
        <w:t xml:space="preserve"> will notify the site manager </w:t>
      </w:r>
      <w:r w:rsidR="00EE453A">
        <w:t>accordingly.</w:t>
      </w:r>
    </w:p>
    <w:p w:rsidRPr="00075A14" w:rsidR="00EE453A" w:rsidP="00EE453A" w:rsidRDefault="00EE453A" w14:paraId="1AB58192" w14:textId="77777777">
      <w:pPr>
        <w:pStyle w:val="ListParagraph"/>
      </w:pPr>
    </w:p>
    <w:p w:rsidR="00827868" w:rsidP="00827868" w:rsidRDefault="00827868" w14:paraId="2FAD5FC4" w14:textId="77777777">
      <w:pPr>
        <w:pStyle w:val="ListParagraph"/>
        <w:rPr>
          <w:b/>
          <w:bCs/>
        </w:rPr>
      </w:pPr>
    </w:p>
    <w:p w:rsidR="00C26BA7" w:rsidP="00827868" w:rsidRDefault="00C26BA7" w14:paraId="7DC7E3ED" w14:textId="036AB4F9">
      <w:pPr>
        <w:pStyle w:val="ListParagraph"/>
        <w:numPr>
          <w:ilvl w:val="0"/>
          <w:numId w:val="1"/>
        </w:numPr>
        <w:rPr>
          <w:b/>
          <w:bCs/>
        </w:rPr>
      </w:pPr>
      <w:r w:rsidRPr="00C26BA7">
        <w:rPr>
          <w:b/>
          <w:bCs/>
        </w:rPr>
        <w:t xml:space="preserve">Money Laundering Reporting officer (MLRO) </w:t>
      </w:r>
    </w:p>
    <w:p w:rsidRPr="00C26BA7" w:rsidR="00C26BA7" w:rsidP="00C26BA7" w:rsidRDefault="00C26BA7" w14:paraId="349E91C7" w14:textId="77777777">
      <w:pPr>
        <w:pStyle w:val="ListParagraph"/>
        <w:rPr>
          <w:b/>
          <w:bCs/>
        </w:rPr>
      </w:pPr>
    </w:p>
    <w:p w:rsidR="00C26BA7" w:rsidP="00C26BA7" w:rsidRDefault="00C26BA7" w14:paraId="2D943C3C" w14:textId="77777777">
      <w:pPr>
        <w:pStyle w:val="ListParagraph"/>
      </w:pPr>
      <w:r>
        <w:t>The MLRO is the primary contact for any further information or to report any suspicious activity.</w:t>
      </w:r>
    </w:p>
    <w:p w:rsidR="00C26BA7" w:rsidP="00C26BA7" w:rsidRDefault="00C26BA7" w14:paraId="0CDE6E14" w14:textId="77777777">
      <w:pPr>
        <w:pStyle w:val="ListParagraph"/>
      </w:pPr>
    </w:p>
    <w:p w:rsidR="00C26BA7" w:rsidP="00C26BA7" w:rsidRDefault="00C26BA7" w14:paraId="5C4605F3" w14:textId="2971C6A5">
      <w:pPr>
        <w:pStyle w:val="ListParagraph"/>
      </w:pPr>
      <w:r>
        <w:t xml:space="preserve">The MLRO is: </w:t>
      </w:r>
    </w:p>
    <w:p w:rsidR="00C26BA7" w:rsidP="00C26BA7" w:rsidRDefault="00C26BA7" w14:paraId="283A51AA" w14:textId="4D607355">
      <w:pPr>
        <w:pStyle w:val="ListParagraph"/>
      </w:pPr>
      <w:r>
        <w:t>Timothy Freeman, Managing Director</w:t>
      </w:r>
    </w:p>
    <w:p w:rsidR="00DD5FEC" w:rsidP="00C26BA7" w:rsidRDefault="00C26BA7" w14:paraId="1BCEB332" w14:textId="3AC7A651">
      <w:pPr>
        <w:pStyle w:val="ListParagraph"/>
      </w:pPr>
      <w:r>
        <w:t xml:space="preserve">Telephone 01905 423 322 Email: </w:t>
      </w:r>
      <w:hyperlink w:history="1" r:id="rId10">
        <w:r w:rsidRPr="00C84C5F">
          <w:rPr>
            <w:rStyle w:val="Hyperlink"/>
          </w:rPr>
          <w:t>timothy.freeman@startingroup.co.uk</w:t>
        </w:r>
      </w:hyperlink>
    </w:p>
    <w:p w:rsidR="00C26BA7" w:rsidP="00C26BA7" w:rsidRDefault="00C26BA7" w14:paraId="18445588" w14:textId="10920FA9">
      <w:pPr>
        <w:pStyle w:val="ListParagraph"/>
      </w:pPr>
    </w:p>
    <w:p w:rsidR="00C26BA7" w:rsidP="00C26BA7" w:rsidRDefault="00C26BA7" w14:paraId="12EF8C59" w14:textId="77777777">
      <w:pPr>
        <w:pStyle w:val="ListParagraph"/>
      </w:pPr>
      <w:r>
        <w:t>And the deputy is:</w:t>
      </w:r>
    </w:p>
    <w:p w:rsidR="00C26BA7" w:rsidP="00C26BA7" w:rsidRDefault="00C26BA7" w14:paraId="7A5573EE" w14:textId="77777777">
      <w:pPr>
        <w:pStyle w:val="ListParagraph"/>
      </w:pPr>
      <w:r>
        <w:t>Stacey Arnold, Head of Group Accounts</w:t>
      </w:r>
    </w:p>
    <w:p w:rsidR="00C26BA7" w:rsidP="00C26BA7" w:rsidRDefault="00C26BA7" w14:paraId="4E6F8449" w14:textId="165C9D29">
      <w:pPr>
        <w:pStyle w:val="ListParagraph"/>
      </w:pPr>
      <w:r>
        <w:t xml:space="preserve">Telephone 01527 912 890 Email: </w:t>
      </w:r>
      <w:hyperlink w:history="1" r:id="rId11">
        <w:r w:rsidRPr="00C84C5F" w:rsidR="007D70BC">
          <w:rPr>
            <w:rStyle w:val="Hyperlink"/>
          </w:rPr>
          <w:t>stacey.arnold@startingroup.co.uk</w:t>
        </w:r>
      </w:hyperlink>
    </w:p>
    <w:p w:rsidR="007D70BC" w:rsidP="00C26BA7" w:rsidRDefault="007D70BC" w14:paraId="79626043" w14:textId="7A05E8DC">
      <w:pPr>
        <w:pStyle w:val="ListParagraph"/>
      </w:pPr>
    </w:p>
    <w:p w:rsidR="007D70BC" w:rsidP="00C26BA7" w:rsidRDefault="007D70BC" w14:paraId="31E29CF0" w14:textId="77777777">
      <w:pPr>
        <w:pStyle w:val="ListParagraph"/>
      </w:pPr>
      <w:r>
        <w:t xml:space="preserve">The MLRO is responsible for: </w:t>
      </w:r>
    </w:p>
    <w:p w:rsidR="007D70BC" w:rsidP="00C26BA7" w:rsidRDefault="007D70BC" w14:paraId="15D173C3" w14:textId="77777777">
      <w:pPr>
        <w:pStyle w:val="ListParagraph"/>
      </w:pPr>
      <w:r>
        <w:t xml:space="preserve">• receiving reports of suspicious activity from any employee in the business; </w:t>
      </w:r>
    </w:p>
    <w:p w:rsidR="007D70BC" w:rsidP="00C26BA7" w:rsidRDefault="007D70BC" w14:paraId="450EC112" w14:textId="77777777">
      <w:pPr>
        <w:pStyle w:val="ListParagraph"/>
      </w:pPr>
      <w:r>
        <w:t xml:space="preserve">• considering all reports and evaluating whether there is – or seems to be, any evidence of money laundering or terrorist financing; </w:t>
      </w:r>
    </w:p>
    <w:p w:rsidR="007D70BC" w:rsidP="00C26BA7" w:rsidRDefault="007D70BC" w14:paraId="26261271" w14:textId="77777777">
      <w:pPr>
        <w:pStyle w:val="ListParagraph"/>
      </w:pPr>
      <w:r>
        <w:t xml:space="preserve">• reporting any suspicious activity or transaction to the Serious Organised Crime Agency (SOCA) by completing and submitting a Suspicious Activity Report; </w:t>
      </w:r>
    </w:p>
    <w:p w:rsidR="007D70BC" w:rsidP="00C26BA7" w:rsidRDefault="007D70BC" w14:paraId="4FC349C0" w14:textId="1D9E3B71">
      <w:pPr>
        <w:pStyle w:val="ListParagraph"/>
      </w:pPr>
      <w:r>
        <w:t>• asking SOCA for consent to continue with any transactions that must be reported and making sure that no transactions are continued illegally</w:t>
      </w:r>
    </w:p>
    <w:p w:rsidR="007D70BC" w:rsidP="00C26BA7" w:rsidRDefault="007D70BC" w14:paraId="5A5B0EFA" w14:textId="07850872">
      <w:pPr>
        <w:pStyle w:val="ListParagraph"/>
        <w:rPr>
          <w:b/>
          <w:bCs/>
        </w:rPr>
      </w:pPr>
    </w:p>
    <w:p w:rsidR="00514E32" w:rsidP="00C26BA7" w:rsidRDefault="00514E32" w14:paraId="15A1A26E" w14:textId="74E12575">
      <w:pPr>
        <w:pStyle w:val="ListParagraph"/>
        <w:rPr>
          <w:b/>
          <w:bCs/>
        </w:rPr>
      </w:pPr>
    </w:p>
    <w:p w:rsidRPr="007D70BC" w:rsidR="00514E32" w:rsidP="00C26BA7" w:rsidRDefault="00514E32" w14:paraId="7C66EEFD" w14:textId="77777777">
      <w:pPr>
        <w:pStyle w:val="ListParagraph"/>
        <w:rPr>
          <w:b/>
          <w:bCs/>
        </w:rPr>
      </w:pPr>
    </w:p>
    <w:p w:rsidR="007D70BC" w:rsidP="007D70BC" w:rsidRDefault="007D70BC" w14:paraId="13D15F64" w14:textId="1A7EB7E8">
      <w:pPr>
        <w:pStyle w:val="ListParagraph"/>
        <w:numPr>
          <w:ilvl w:val="0"/>
          <w:numId w:val="1"/>
        </w:numPr>
        <w:rPr>
          <w:b/>
          <w:bCs/>
        </w:rPr>
      </w:pPr>
      <w:r w:rsidRPr="007D70BC">
        <w:rPr>
          <w:b/>
          <w:bCs/>
        </w:rPr>
        <w:t xml:space="preserve">All </w:t>
      </w:r>
      <w:r w:rsidR="00075A14">
        <w:rPr>
          <w:b/>
          <w:bCs/>
        </w:rPr>
        <w:t xml:space="preserve">employees of </w:t>
      </w:r>
      <w:r w:rsidR="00793011">
        <w:rPr>
          <w:b/>
          <w:bCs/>
        </w:rPr>
        <w:t xml:space="preserve">the </w:t>
      </w:r>
      <w:r w:rsidR="00075A14">
        <w:rPr>
          <w:b/>
          <w:bCs/>
        </w:rPr>
        <w:t>Group</w:t>
      </w:r>
      <w:r w:rsidRPr="007D70BC">
        <w:rPr>
          <w:b/>
          <w:bCs/>
        </w:rPr>
        <w:t xml:space="preserve"> – Reporting Suspicious Activity </w:t>
      </w:r>
    </w:p>
    <w:p w:rsidRPr="007D70BC" w:rsidR="007D70BC" w:rsidP="007D70BC" w:rsidRDefault="007D70BC" w14:paraId="151F55FA" w14:textId="77777777">
      <w:pPr>
        <w:pStyle w:val="ListParagraph"/>
        <w:rPr>
          <w:b/>
          <w:bCs/>
        </w:rPr>
      </w:pPr>
    </w:p>
    <w:p w:rsidR="007D70BC" w:rsidP="007D70BC" w:rsidRDefault="00181FED" w14:paraId="14A4EA97" w14:textId="058A4936">
      <w:pPr>
        <w:pStyle w:val="ListParagraph"/>
      </w:pPr>
      <w:r>
        <w:t>An</w:t>
      </w:r>
      <w:r w:rsidR="007D70BC">
        <w:t xml:space="preserve"> employee of </w:t>
      </w:r>
      <w:proofErr w:type="spellStart"/>
      <w:r w:rsidR="007D70BC">
        <w:t>Startins</w:t>
      </w:r>
      <w:proofErr w:type="spellEnd"/>
      <w:r w:rsidR="007D70BC">
        <w:t xml:space="preserve"> who needs to report suspicious activity must complete the Suspicious Activity Report (SAR) which is detailed in A</w:t>
      </w:r>
      <w:r w:rsidR="00EE453A">
        <w:t>ppendix</w:t>
      </w:r>
      <w:r w:rsidR="007D70BC">
        <w:t xml:space="preserve"> A. They should provide as much detail as possible and the report must be made in the strictest confidence, being careful to avoid “tipping off” those who may be involved.</w:t>
      </w:r>
    </w:p>
    <w:p w:rsidR="007D70BC" w:rsidP="007D70BC" w:rsidRDefault="007D70BC" w14:paraId="5D2F2930" w14:textId="754C0029">
      <w:pPr>
        <w:pStyle w:val="ListParagraph"/>
      </w:pPr>
    </w:p>
    <w:p w:rsidR="007D70BC" w:rsidP="007D70BC" w:rsidRDefault="007D70BC" w14:paraId="45D9FCB1" w14:textId="77777777">
      <w:pPr>
        <w:pStyle w:val="ListParagraph"/>
      </w:pPr>
      <w:r>
        <w:t xml:space="preserve">Money laundering legislation applies to </w:t>
      </w:r>
      <w:r w:rsidRPr="007D70BC">
        <w:rPr>
          <w:b/>
          <w:bCs/>
        </w:rPr>
        <w:t>all</w:t>
      </w:r>
      <w:r>
        <w:t xml:space="preserve"> employees. Employees could be committing an offence if they suspect money laundering (or if they become involved in some way) and do nothing about it. </w:t>
      </w:r>
    </w:p>
    <w:p w:rsidR="007D70BC" w:rsidP="007D70BC" w:rsidRDefault="007D70BC" w14:paraId="1E28D7DA" w14:textId="77777777">
      <w:pPr>
        <w:pStyle w:val="ListParagraph"/>
      </w:pPr>
    </w:p>
    <w:p w:rsidR="007D70BC" w:rsidP="007D70BC" w:rsidRDefault="007D70BC" w14:paraId="7FAF0A0B" w14:textId="05A6E279">
      <w:pPr>
        <w:pStyle w:val="ListParagraph"/>
      </w:pPr>
      <w:r>
        <w:t xml:space="preserve">Potential Red flags are highlighted in Section 3. The MLRO will report any findings to the </w:t>
      </w:r>
      <w:r w:rsidR="001D3403">
        <w:t>Head of Group Accounts</w:t>
      </w:r>
      <w:r>
        <w:t xml:space="preserve"> who will carry out any investigation</w:t>
      </w:r>
      <w:r w:rsidR="001D3403">
        <w:t>.</w:t>
      </w:r>
    </w:p>
    <w:p w:rsidR="001D3403" w:rsidP="007D70BC" w:rsidRDefault="001D3403" w14:paraId="6E4AE8B0" w14:textId="4ACD92A3">
      <w:pPr>
        <w:pStyle w:val="ListParagraph"/>
      </w:pPr>
    </w:p>
    <w:p w:rsidR="001D3403" w:rsidP="001D3403" w:rsidRDefault="001D3403" w14:paraId="3DB6AAF5" w14:textId="23C95EC2">
      <w:pPr>
        <w:pStyle w:val="ListParagraph"/>
        <w:numPr>
          <w:ilvl w:val="0"/>
          <w:numId w:val="1"/>
        </w:numPr>
        <w:rPr>
          <w:b/>
          <w:bCs/>
        </w:rPr>
      </w:pPr>
      <w:r w:rsidRPr="001D3403">
        <w:rPr>
          <w:b/>
          <w:bCs/>
        </w:rPr>
        <w:t xml:space="preserve">Training </w:t>
      </w:r>
    </w:p>
    <w:p w:rsidR="001D3403" w:rsidP="001D3403" w:rsidRDefault="001D3403" w14:paraId="7F450593" w14:textId="77777777">
      <w:pPr>
        <w:pStyle w:val="ListParagraph"/>
        <w:rPr>
          <w:b/>
          <w:bCs/>
        </w:rPr>
      </w:pPr>
    </w:p>
    <w:p w:rsidR="001D3403" w:rsidP="001D3403" w:rsidRDefault="00075A14" w14:paraId="4B7F43DE" w14:textId="1C3F23D1">
      <w:pPr>
        <w:pStyle w:val="ListParagraph"/>
      </w:pPr>
      <w:r>
        <w:t>The company</w:t>
      </w:r>
      <w:r w:rsidR="001D3403">
        <w:t xml:space="preserve"> will ensure that members of staff with financial responsibility receive appropriate money laundering training. Refresher training will take place at each revision of the policy.</w:t>
      </w:r>
    </w:p>
    <w:p w:rsidR="00335F21" w:rsidP="001D3403" w:rsidRDefault="00335F21" w14:paraId="71C52884" w14:textId="33B044C4">
      <w:pPr>
        <w:pStyle w:val="ListParagraph"/>
      </w:pPr>
    </w:p>
    <w:p w:rsidRPr="00335F21" w:rsidR="00335F21" w:rsidP="00335F21" w:rsidRDefault="00335F21" w14:paraId="00AB5F5F" w14:textId="49766128">
      <w:pPr>
        <w:pStyle w:val="ListParagraph"/>
        <w:numPr>
          <w:ilvl w:val="0"/>
          <w:numId w:val="1"/>
        </w:numPr>
        <w:rPr>
          <w:b/>
          <w:bCs/>
        </w:rPr>
      </w:pPr>
      <w:r w:rsidRPr="00335F21">
        <w:rPr>
          <w:b/>
          <w:bCs/>
        </w:rPr>
        <w:t xml:space="preserve">Record Keeping </w:t>
      </w:r>
    </w:p>
    <w:p w:rsidRPr="00335F21" w:rsidR="00335F21" w:rsidP="00335F21" w:rsidRDefault="00335F21" w14:paraId="5D7A1B5B" w14:textId="77777777">
      <w:pPr>
        <w:pStyle w:val="ListParagraph"/>
        <w:rPr>
          <w:b/>
          <w:bCs/>
        </w:rPr>
      </w:pPr>
    </w:p>
    <w:p w:rsidRPr="00335F21" w:rsidR="00335F21" w:rsidP="00335F21" w:rsidRDefault="00335F21" w14:paraId="0C4AF3F0" w14:textId="027FECC8">
      <w:pPr>
        <w:pStyle w:val="ListParagraph"/>
        <w:rPr>
          <w:b/>
          <w:bCs/>
        </w:rPr>
      </w:pPr>
      <w:r>
        <w:t>The MLRO will keep a record of all referrals made to them and of any action taken / not taken. The precise nature of these records is not set down in law but should be capable of providing an audit trail during any subsequent investigation.</w:t>
      </w:r>
    </w:p>
    <w:p w:rsidR="001D3403" w:rsidP="001D3403" w:rsidRDefault="001D3403" w14:paraId="6E940CB0" w14:textId="40B7B5B0">
      <w:pPr>
        <w:ind w:left="360"/>
      </w:pPr>
    </w:p>
    <w:p w:rsidRPr="001D3403" w:rsidR="001D3403" w:rsidP="001D3403" w:rsidRDefault="001D3403" w14:paraId="022279BC" w14:textId="1A8A2483">
      <w:pPr>
        <w:pStyle w:val="ListParagraph"/>
        <w:numPr>
          <w:ilvl w:val="0"/>
          <w:numId w:val="1"/>
        </w:numPr>
        <w:rPr>
          <w:b/>
          <w:bCs/>
        </w:rPr>
      </w:pPr>
      <w:r w:rsidRPr="001D3403">
        <w:rPr>
          <w:b/>
          <w:bCs/>
        </w:rPr>
        <w:t xml:space="preserve">Policy review </w:t>
      </w:r>
    </w:p>
    <w:p w:rsidR="001D3403" w:rsidP="001D3403" w:rsidRDefault="001D3403" w14:paraId="40A775CE" w14:textId="77777777">
      <w:pPr>
        <w:pStyle w:val="ListParagraph"/>
      </w:pPr>
    </w:p>
    <w:p w:rsidR="00EE453A" w:rsidP="00E84E06" w:rsidRDefault="001D3403" w14:paraId="2E47A61D" w14:textId="0F955761">
      <w:pPr>
        <w:pStyle w:val="ListParagraph"/>
      </w:pPr>
      <w:r>
        <w:t>The policy will be subject to regular review by the Head of Group Accounts or following a change to relevant UK legislation.</w:t>
      </w:r>
    </w:p>
    <w:p w:rsidR="00EE453A" w:rsidP="00C26BA7" w:rsidRDefault="00EE453A" w14:paraId="10D5743C" w14:textId="67D8E109">
      <w:pPr>
        <w:pStyle w:val="ListParagraph"/>
      </w:pPr>
    </w:p>
    <w:p w:rsidR="00EE453A" w:rsidP="00C26BA7" w:rsidRDefault="00EE453A" w14:paraId="063DFBCD" w14:textId="556A47B8">
      <w:pPr>
        <w:pStyle w:val="ListParagraph"/>
      </w:pPr>
    </w:p>
    <w:p w:rsidR="003A3C94" w:rsidP="00C26BA7" w:rsidRDefault="003A3C94" w14:paraId="694E306A" w14:textId="77A432CA">
      <w:pPr>
        <w:pStyle w:val="ListParagraph"/>
      </w:pPr>
    </w:p>
    <w:p w:rsidR="003A3C94" w:rsidP="00C26BA7" w:rsidRDefault="003A3C94" w14:paraId="713D58E1" w14:textId="5987A659">
      <w:pPr>
        <w:pStyle w:val="ListParagraph"/>
      </w:pPr>
    </w:p>
    <w:p w:rsidR="003A3C94" w:rsidP="00C26BA7" w:rsidRDefault="003A3C94" w14:paraId="440592DA" w14:textId="24DF8BF7">
      <w:pPr>
        <w:pStyle w:val="ListParagraph"/>
      </w:pPr>
    </w:p>
    <w:p w:rsidR="003A3C94" w:rsidP="00C26BA7" w:rsidRDefault="003A3C94" w14:paraId="2F09433F" w14:textId="11658A6D">
      <w:pPr>
        <w:pStyle w:val="ListParagraph"/>
      </w:pPr>
    </w:p>
    <w:p w:rsidR="003A3C94" w:rsidP="00C26BA7" w:rsidRDefault="003A3C94" w14:paraId="7F7C3675" w14:textId="5B4235EA">
      <w:pPr>
        <w:pStyle w:val="ListParagraph"/>
      </w:pPr>
    </w:p>
    <w:p w:rsidR="003A3C94" w:rsidP="00C26BA7" w:rsidRDefault="003A3C94" w14:paraId="161B4553" w14:textId="2F3F4989">
      <w:pPr>
        <w:pStyle w:val="ListParagraph"/>
      </w:pPr>
    </w:p>
    <w:p w:rsidR="003A3C94" w:rsidP="00C26BA7" w:rsidRDefault="003A3C94" w14:paraId="29F4D214" w14:textId="302C23C8">
      <w:pPr>
        <w:pStyle w:val="ListParagraph"/>
      </w:pPr>
    </w:p>
    <w:p w:rsidR="003A3C94" w:rsidP="00C26BA7" w:rsidRDefault="003A3C94" w14:paraId="28657351" w14:textId="5705C517">
      <w:pPr>
        <w:pStyle w:val="ListParagraph"/>
      </w:pPr>
    </w:p>
    <w:p w:rsidR="003A3C94" w:rsidP="00C26BA7" w:rsidRDefault="003A3C94" w14:paraId="1366D4F5" w14:textId="6B04670F">
      <w:pPr>
        <w:pStyle w:val="ListParagraph"/>
      </w:pPr>
    </w:p>
    <w:p w:rsidR="003A3C94" w:rsidP="00C26BA7" w:rsidRDefault="003A3C94" w14:paraId="22F2A329" w14:textId="516A2759">
      <w:pPr>
        <w:pStyle w:val="ListParagraph"/>
      </w:pPr>
    </w:p>
    <w:p w:rsidR="003A3C94" w:rsidP="00C26BA7" w:rsidRDefault="003A3C94" w14:paraId="707457CC" w14:textId="3A591E7A">
      <w:pPr>
        <w:pStyle w:val="ListParagraph"/>
      </w:pPr>
    </w:p>
    <w:p w:rsidR="003A3C94" w:rsidP="00C26BA7" w:rsidRDefault="003A3C94" w14:paraId="07F3016B" w14:textId="108A2A35">
      <w:pPr>
        <w:pStyle w:val="ListParagraph"/>
      </w:pPr>
    </w:p>
    <w:p w:rsidR="003A3C94" w:rsidP="00C26BA7" w:rsidRDefault="003A3C94" w14:paraId="1F81FFE8" w14:textId="59433A27">
      <w:pPr>
        <w:pStyle w:val="ListParagraph"/>
      </w:pPr>
    </w:p>
    <w:p w:rsidR="003A3C94" w:rsidP="00C26BA7" w:rsidRDefault="003A3C94" w14:paraId="031ABFF7" w14:textId="34431962">
      <w:pPr>
        <w:pStyle w:val="ListParagraph"/>
      </w:pPr>
    </w:p>
    <w:p w:rsidR="003A3C94" w:rsidP="00C26BA7" w:rsidRDefault="003A3C94" w14:paraId="0D31965B" w14:textId="4261CBB1">
      <w:pPr>
        <w:pStyle w:val="ListParagraph"/>
      </w:pPr>
    </w:p>
    <w:p w:rsidR="003A3C94" w:rsidP="00C26BA7" w:rsidRDefault="003A3C94" w14:paraId="3CD02CB4" w14:textId="194FC258">
      <w:pPr>
        <w:pStyle w:val="ListParagraph"/>
      </w:pPr>
    </w:p>
    <w:p w:rsidR="003A3C94" w:rsidP="00C26BA7" w:rsidRDefault="003A3C94" w14:paraId="23DF725A" w14:textId="4E32AC01">
      <w:pPr>
        <w:pStyle w:val="ListParagraph"/>
      </w:pPr>
    </w:p>
    <w:p w:rsidR="003A3C94" w:rsidP="00C26BA7" w:rsidRDefault="003A3C94" w14:paraId="08FD7CE1" w14:textId="7FAC8765">
      <w:pPr>
        <w:pStyle w:val="ListParagraph"/>
      </w:pPr>
    </w:p>
    <w:p w:rsidR="003A3C94" w:rsidP="00C26BA7" w:rsidRDefault="003A3C94" w14:paraId="18D32EB8" w14:textId="78B41A96">
      <w:pPr>
        <w:pStyle w:val="ListParagraph"/>
      </w:pPr>
    </w:p>
    <w:p w:rsidR="003A3C94" w:rsidP="00C26BA7" w:rsidRDefault="003A3C94" w14:paraId="306CF337" w14:textId="5EBB4F3C">
      <w:pPr>
        <w:pStyle w:val="ListParagraph"/>
      </w:pPr>
    </w:p>
    <w:p w:rsidR="003A3C94" w:rsidP="00C26BA7" w:rsidRDefault="003A3C94" w14:paraId="52DB8ADC" w14:textId="4B6B0080">
      <w:pPr>
        <w:pStyle w:val="ListParagraph"/>
      </w:pPr>
    </w:p>
    <w:p w:rsidR="003A3C94" w:rsidP="00C26BA7" w:rsidRDefault="003A3C94" w14:paraId="62FEFB86" w14:textId="6B043964">
      <w:pPr>
        <w:pStyle w:val="ListParagraph"/>
      </w:pPr>
    </w:p>
    <w:p w:rsidR="003A3C94" w:rsidP="00C26BA7" w:rsidRDefault="003A3C94" w14:paraId="1C1A98E2" w14:textId="4367CAC7">
      <w:pPr>
        <w:pStyle w:val="ListParagraph"/>
      </w:pPr>
    </w:p>
    <w:p w:rsidR="003A3C94" w:rsidP="00C26BA7" w:rsidRDefault="003A3C94" w14:paraId="7FDB025D" w14:textId="0FF6B455">
      <w:pPr>
        <w:pStyle w:val="ListParagraph"/>
      </w:pPr>
    </w:p>
    <w:p w:rsidR="003A3C94" w:rsidP="00C26BA7" w:rsidRDefault="003A3C94" w14:paraId="0670CED0" w14:textId="30BAC24D">
      <w:pPr>
        <w:pStyle w:val="ListParagraph"/>
      </w:pPr>
    </w:p>
    <w:p w:rsidR="003A3C94" w:rsidP="00C26BA7" w:rsidRDefault="003A3C94" w14:paraId="07BCDB6B" w14:textId="733A4A5F">
      <w:pPr>
        <w:pStyle w:val="ListParagraph"/>
      </w:pPr>
    </w:p>
    <w:p w:rsidR="003A3C94" w:rsidP="00C26BA7" w:rsidRDefault="003A3C94" w14:paraId="1E4408B0" w14:textId="330E0A40">
      <w:pPr>
        <w:pStyle w:val="ListParagraph"/>
      </w:pPr>
    </w:p>
    <w:p w:rsidR="003A3C94" w:rsidP="00C26BA7" w:rsidRDefault="003A3C94" w14:paraId="3CAC0993" w14:textId="77777777">
      <w:pPr>
        <w:pStyle w:val="ListParagraph"/>
      </w:pPr>
    </w:p>
    <w:p w:rsidR="00EE453A" w:rsidP="00C26BA7" w:rsidRDefault="00D679B9" w14:paraId="5A8745CD" w14:textId="49D880D5">
      <w:pPr>
        <w:pStyle w:val="ListParagraph"/>
      </w:pPr>
      <w:r w:rsidRPr="00EE453A">
        <w:rPr>
          <w:b/>
          <w:bCs/>
        </w:rPr>
        <w:t>Appendix A</w:t>
      </w:r>
      <w:r w:rsidRPr="00EE453A" w:rsidR="00EE453A">
        <w:rPr>
          <w:b/>
          <w:bCs/>
        </w:rPr>
        <w:t>: Suspicious Activity Report</w:t>
      </w:r>
      <w:r w:rsidR="00EE453A">
        <w:t xml:space="preserve"> </w:t>
      </w:r>
    </w:p>
    <w:p w:rsidR="00EE453A" w:rsidP="00C26BA7" w:rsidRDefault="00EE453A" w14:paraId="6F52B16A" w14:textId="526D2B97">
      <w:pPr>
        <w:pStyle w:val="ListParagraph"/>
      </w:pPr>
    </w:p>
    <w:tbl>
      <w:tblPr>
        <w:tblStyle w:val="TableGrid"/>
        <w:tblW w:w="0" w:type="auto"/>
        <w:tblInd w:w="720" w:type="dxa"/>
        <w:tblLook w:val="04A0" w:firstRow="1" w:lastRow="0" w:firstColumn="1" w:lastColumn="0" w:noHBand="0" w:noVBand="1"/>
      </w:tblPr>
      <w:tblGrid>
        <w:gridCol w:w="4151"/>
        <w:gridCol w:w="4145"/>
      </w:tblGrid>
      <w:tr w:rsidR="00EE453A" w:rsidTr="00EE453A" w14:paraId="70A5EF69" w14:textId="77777777">
        <w:tc>
          <w:tcPr>
            <w:tcW w:w="9016" w:type="dxa"/>
            <w:gridSpan w:val="2"/>
            <w:shd w:val="clear" w:color="auto" w:fill="C9C9C9" w:themeFill="accent3" w:themeFillTint="99"/>
          </w:tcPr>
          <w:p w:rsidR="00EE453A" w:rsidP="00EE453A" w:rsidRDefault="00EE453A" w14:paraId="66103628" w14:textId="77777777">
            <w:pPr>
              <w:pStyle w:val="ListParagraph"/>
              <w:ind w:left="0"/>
              <w:jc w:val="center"/>
              <w:rPr>
                <w:b/>
                <w:bCs/>
                <w:highlight w:val="lightGray"/>
              </w:rPr>
            </w:pPr>
          </w:p>
          <w:p w:rsidR="00EE453A" w:rsidP="00EE453A" w:rsidRDefault="00EE453A" w14:paraId="70F51164" w14:textId="16FA79E5">
            <w:pPr>
              <w:pStyle w:val="ListParagraph"/>
              <w:ind w:left="0"/>
              <w:jc w:val="center"/>
              <w:rPr>
                <w:b/>
                <w:bCs/>
                <w:highlight w:val="lightGray"/>
              </w:rPr>
            </w:pPr>
            <w:r w:rsidRPr="00EE453A">
              <w:rPr>
                <w:b/>
                <w:bCs/>
                <w:highlight w:val="lightGray"/>
              </w:rPr>
              <w:t xml:space="preserve">CONFIDENTIAL – Suspicious Activity Report </w:t>
            </w:r>
          </w:p>
          <w:p w:rsidR="00EE453A" w:rsidP="00EE453A" w:rsidRDefault="00EE453A" w14:paraId="2223061B" w14:textId="77777777">
            <w:pPr>
              <w:pStyle w:val="ListParagraph"/>
              <w:ind w:left="0"/>
              <w:jc w:val="center"/>
              <w:rPr>
                <w:b/>
                <w:bCs/>
                <w:highlight w:val="lightGray"/>
              </w:rPr>
            </w:pPr>
          </w:p>
          <w:p w:rsidRPr="00EE453A" w:rsidR="00EE453A" w:rsidP="00EE453A" w:rsidRDefault="00EE453A" w14:paraId="2E5AE8E9" w14:textId="27D9FE14">
            <w:pPr>
              <w:pStyle w:val="ListParagraph"/>
              <w:ind w:left="0"/>
              <w:jc w:val="center"/>
              <w:rPr>
                <w:b/>
                <w:bCs/>
                <w:highlight w:val="lightGray"/>
              </w:rPr>
            </w:pPr>
            <w:r w:rsidRPr="00EE453A">
              <w:rPr>
                <w:b/>
                <w:bCs/>
                <w:highlight w:val="lightGray"/>
              </w:rPr>
              <w:t>Please complete and send this to the MLRO using the details below</w:t>
            </w:r>
          </w:p>
        </w:tc>
      </w:tr>
      <w:tr w:rsidR="00EE453A" w:rsidTr="00EE453A" w14:paraId="793768CD" w14:textId="77777777">
        <w:tc>
          <w:tcPr>
            <w:tcW w:w="9016" w:type="dxa"/>
            <w:gridSpan w:val="2"/>
          </w:tcPr>
          <w:p w:rsidR="00EE453A" w:rsidP="00C26BA7" w:rsidRDefault="00EB19E1" w14:paraId="6E7CE0A2" w14:textId="77777777">
            <w:pPr>
              <w:pStyle w:val="ListParagraph"/>
              <w:ind w:left="0"/>
            </w:pPr>
            <w:r>
              <w:t>From:</w:t>
            </w:r>
          </w:p>
          <w:p w:rsidR="00EB19E1" w:rsidP="00C26BA7" w:rsidRDefault="00EB19E1" w14:paraId="0DC6E17E" w14:textId="77777777">
            <w:pPr>
              <w:pStyle w:val="ListParagraph"/>
              <w:ind w:left="0"/>
            </w:pPr>
          </w:p>
          <w:p w:rsidR="00EB19E1" w:rsidP="00C26BA7" w:rsidRDefault="00EB19E1" w14:paraId="28DE74E6" w14:textId="47C28DCE">
            <w:pPr>
              <w:pStyle w:val="ListParagraph"/>
              <w:ind w:left="0"/>
            </w:pPr>
          </w:p>
        </w:tc>
      </w:tr>
      <w:tr w:rsidR="00EE453A" w:rsidTr="00EE453A" w14:paraId="2530CCB2" w14:textId="77777777">
        <w:tc>
          <w:tcPr>
            <w:tcW w:w="9016" w:type="dxa"/>
            <w:gridSpan w:val="2"/>
          </w:tcPr>
          <w:p w:rsidR="00EE453A" w:rsidP="00C26BA7" w:rsidRDefault="00EB19E1" w14:paraId="4E196B91" w14:textId="77777777">
            <w:pPr>
              <w:pStyle w:val="ListParagraph"/>
              <w:ind w:left="0"/>
            </w:pPr>
            <w:r>
              <w:t>Contact Details:</w:t>
            </w:r>
          </w:p>
          <w:p w:rsidR="00EB19E1" w:rsidP="00C26BA7" w:rsidRDefault="00EB19E1" w14:paraId="0306E75B" w14:textId="77777777">
            <w:pPr>
              <w:pStyle w:val="ListParagraph"/>
              <w:ind w:left="0"/>
            </w:pPr>
          </w:p>
          <w:p w:rsidR="00EB19E1" w:rsidP="00C26BA7" w:rsidRDefault="00EB19E1" w14:paraId="5DBC8B17" w14:textId="40406F9E">
            <w:pPr>
              <w:pStyle w:val="ListParagraph"/>
              <w:ind w:left="0"/>
            </w:pPr>
          </w:p>
        </w:tc>
      </w:tr>
      <w:tr w:rsidR="00EE453A" w:rsidTr="00EB19E1" w14:paraId="40F646F2" w14:textId="77777777">
        <w:tc>
          <w:tcPr>
            <w:tcW w:w="9016" w:type="dxa"/>
            <w:gridSpan w:val="2"/>
            <w:shd w:val="clear" w:color="auto" w:fill="C9C9C9" w:themeFill="accent3" w:themeFillTint="99"/>
          </w:tcPr>
          <w:p w:rsidRPr="00EB19E1" w:rsidR="00EE453A" w:rsidP="00C26BA7" w:rsidRDefault="00EB19E1" w14:paraId="5C298C3F" w14:textId="5CF2633C">
            <w:pPr>
              <w:pStyle w:val="ListParagraph"/>
              <w:ind w:left="0"/>
              <w:rPr>
                <w:b/>
                <w:bCs/>
              </w:rPr>
            </w:pPr>
            <w:r w:rsidRPr="00EB19E1">
              <w:rPr>
                <w:b/>
                <w:bCs/>
              </w:rPr>
              <w:t>DETAILS OF SUSPICIOUS ACTIVITY [Please continue on a separate sheet if necessary]</w:t>
            </w:r>
          </w:p>
        </w:tc>
      </w:tr>
      <w:tr w:rsidR="00EE453A" w:rsidTr="00EE453A" w14:paraId="52BC23E6" w14:textId="77777777">
        <w:tc>
          <w:tcPr>
            <w:tcW w:w="9016" w:type="dxa"/>
            <w:gridSpan w:val="2"/>
          </w:tcPr>
          <w:p w:rsidR="00EE453A" w:rsidP="00C26BA7" w:rsidRDefault="00EB19E1" w14:paraId="4534BA8E" w14:textId="5B2619CA">
            <w:pPr>
              <w:pStyle w:val="ListParagraph"/>
              <w:ind w:left="0"/>
            </w:pPr>
            <w:r>
              <w:t>Name(s) and address(es) of person(s) involved, including relationship with the Company:</w:t>
            </w:r>
          </w:p>
          <w:p w:rsidR="00EB19E1" w:rsidP="00C26BA7" w:rsidRDefault="00EB19E1" w14:paraId="0F94801F" w14:textId="77777777">
            <w:pPr>
              <w:pStyle w:val="ListParagraph"/>
              <w:ind w:left="0"/>
            </w:pPr>
          </w:p>
          <w:p w:rsidR="00EB19E1" w:rsidP="00C26BA7" w:rsidRDefault="00EB19E1" w14:paraId="430C87A2" w14:textId="12E5A917">
            <w:pPr>
              <w:pStyle w:val="ListParagraph"/>
              <w:ind w:left="0"/>
            </w:pPr>
          </w:p>
        </w:tc>
      </w:tr>
      <w:tr w:rsidR="00EE453A" w:rsidTr="00EE453A" w14:paraId="79488337" w14:textId="77777777">
        <w:tc>
          <w:tcPr>
            <w:tcW w:w="9016" w:type="dxa"/>
            <w:gridSpan w:val="2"/>
          </w:tcPr>
          <w:p w:rsidR="00EE453A" w:rsidP="00C26BA7" w:rsidRDefault="00EB19E1" w14:paraId="7370098E" w14:textId="77777777">
            <w:pPr>
              <w:pStyle w:val="ListParagraph"/>
              <w:ind w:left="0"/>
            </w:pPr>
            <w:r>
              <w:t>Nature, value and timing of activity involved:</w:t>
            </w:r>
          </w:p>
          <w:p w:rsidR="00EB19E1" w:rsidP="00C26BA7" w:rsidRDefault="00EB19E1" w14:paraId="1DEA5160" w14:textId="77777777">
            <w:pPr>
              <w:pStyle w:val="ListParagraph"/>
              <w:ind w:left="0"/>
            </w:pPr>
          </w:p>
          <w:p w:rsidR="00EB19E1" w:rsidP="00C26BA7" w:rsidRDefault="00EB19E1" w14:paraId="16BA046D" w14:textId="2C2B8DC4">
            <w:pPr>
              <w:pStyle w:val="ListParagraph"/>
              <w:ind w:left="0"/>
            </w:pPr>
          </w:p>
        </w:tc>
      </w:tr>
      <w:tr w:rsidR="00EE453A" w:rsidTr="00EE453A" w14:paraId="16D0B2D4" w14:textId="77777777">
        <w:tc>
          <w:tcPr>
            <w:tcW w:w="9016" w:type="dxa"/>
            <w:gridSpan w:val="2"/>
          </w:tcPr>
          <w:p w:rsidR="00EE453A" w:rsidP="00C26BA7" w:rsidRDefault="00EB19E1" w14:paraId="5592D18B" w14:textId="77777777">
            <w:pPr>
              <w:pStyle w:val="ListParagraph"/>
              <w:ind w:left="0"/>
            </w:pPr>
            <w:r>
              <w:t>Nature of suspicions regarding such activity:</w:t>
            </w:r>
          </w:p>
          <w:p w:rsidR="00EB19E1" w:rsidP="00C26BA7" w:rsidRDefault="00EB19E1" w14:paraId="7BBCACE4" w14:textId="77777777">
            <w:pPr>
              <w:pStyle w:val="ListParagraph"/>
              <w:ind w:left="0"/>
            </w:pPr>
          </w:p>
          <w:p w:rsidR="00EB19E1" w:rsidP="00C26BA7" w:rsidRDefault="00EB19E1" w14:paraId="6DDEC8F8" w14:textId="38FB6E55">
            <w:pPr>
              <w:pStyle w:val="ListParagraph"/>
              <w:ind w:left="0"/>
            </w:pPr>
          </w:p>
        </w:tc>
      </w:tr>
      <w:tr w:rsidR="00EE453A" w:rsidTr="00EE453A" w14:paraId="623CEC56" w14:textId="77777777">
        <w:tc>
          <w:tcPr>
            <w:tcW w:w="9016" w:type="dxa"/>
            <w:gridSpan w:val="2"/>
          </w:tcPr>
          <w:p w:rsidR="00EE453A" w:rsidP="00C26BA7" w:rsidRDefault="00EB19E1" w14:paraId="5825BEBD" w14:textId="77777777">
            <w:pPr>
              <w:pStyle w:val="ListParagraph"/>
              <w:ind w:left="0"/>
            </w:pPr>
            <w:r>
              <w:t>Details of any enquiries you may have undertaken to date:</w:t>
            </w:r>
          </w:p>
          <w:p w:rsidR="00EB19E1" w:rsidP="00C26BA7" w:rsidRDefault="00EB19E1" w14:paraId="6C9052A2" w14:textId="77777777">
            <w:pPr>
              <w:pStyle w:val="ListParagraph"/>
              <w:ind w:left="0"/>
            </w:pPr>
          </w:p>
          <w:p w:rsidR="00EB19E1" w:rsidP="00C26BA7" w:rsidRDefault="00EB19E1" w14:paraId="5F6935AC" w14:textId="3B134023">
            <w:pPr>
              <w:pStyle w:val="ListParagraph"/>
              <w:ind w:left="0"/>
            </w:pPr>
          </w:p>
        </w:tc>
      </w:tr>
      <w:tr w:rsidR="00EB19E1" w:rsidTr="00EB19E1" w14:paraId="5B7117C4" w14:textId="77777777">
        <w:tc>
          <w:tcPr>
            <w:tcW w:w="9016" w:type="dxa"/>
            <w:gridSpan w:val="2"/>
          </w:tcPr>
          <w:p w:rsidR="00EB19E1" w:rsidP="00C26BA7" w:rsidRDefault="00EB19E1" w14:paraId="699143A7" w14:textId="77777777">
            <w:pPr>
              <w:pStyle w:val="ListParagraph"/>
              <w:ind w:left="0"/>
            </w:pPr>
            <w:r>
              <w:t>Have you discussed you suspicions with anyone? And if so, on what basis?</w:t>
            </w:r>
          </w:p>
          <w:p w:rsidR="00EB19E1" w:rsidP="00C26BA7" w:rsidRDefault="00EB19E1" w14:paraId="38A6C55F" w14:textId="77777777">
            <w:pPr>
              <w:pStyle w:val="ListParagraph"/>
              <w:ind w:left="0"/>
            </w:pPr>
          </w:p>
          <w:p w:rsidR="00EB19E1" w:rsidP="00C26BA7" w:rsidRDefault="00EB19E1" w14:paraId="29E54411" w14:textId="04DD4B84">
            <w:pPr>
              <w:pStyle w:val="ListParagraph"/>
              <w:ind w:left="0"/>
            </w:pPr>
          </w:p>
        </w:tc>
      </w:tr>
      <w:tr w:rsidR="00EB19E1" w:rsidTr="00EB19E1" w14:paraId="3292854C" w14:textId="77777777">
        <w:tc>
          <w:tcPr>
            <w:tcW w:w="9016" w:type="dxa"/>
            <w:gridSpan w:val="2"/>
          </w:tcPr>
          <w:p w:rsidR="00EB19E1" w:rsidP="00C26BA7" w:rsidRDefault="00EB19E1" w14:paraId="0E5BA7B6" w14:textId="77777777">
            <w:pPr>
              <w:pStyle w:val="ListParagraph"/>
              <w:ind w:left="0"/>
            </w:pPr>
            <w:r>
              <w:t>Is any aspect of the transaction(s) outstanding and requiring consent to progress?</w:t>
            </w:r>
          </w:p>
          <w:p w:rsidR="00EB19E1" w:rsidP="00C26BA7" w:rsidRDefault="00EB19E1" w14:paraId="7433069B" w14:textId="77777777">
            <w:pPr>
              <w:pStyle w:val="ListParagraph"/>
              <w:ind w:left="0"/>
            </w:pPr>
          </w:p>
          <w:p w:rsidR="00EB19E1" w:rsidP="00C26BA7" w:rsidRDefault="00EB19E1" w14:paraId="1CA9A102" w14:textId="6D3DBAC5">
            <w:pPr>
              <w:pStyle w:val="ListParagraph"/>
              <w:ind w:left="0"/>
            </w:pPr>
          </w:p>
        </w:tc>
      </w:tr>
      <w:tr w:rsidR="00EB19E1" w:rsidTr="00EB19E1" w14:paraId="24C8EAE5" w14:textId="77777777">
        <w:tc>
          <w:tcPr>
            <w:tcW w:w="9016" w:type="dxa"/>
            <w:gridSpan w:val="2"/>
          </w:tcPr>
          <w:p w:rsidR="00EB19E1" w:rsidP="00C26BA7" w:rsidRDefault="00EB19E1" w14:paraId="4E111D60" w14:textId="77777777">
            <w:pPr>
              <w:pStyle w:val="ListParagraph"/>
              <w:ind w:left="0"/>
            </w:pPr>
            <w:r>
              <w:t>Any other relevant information that may be useful?</w:t>
            </w:r>
          </w:p>
          <w:p w:rsidR="00EB19E1" w:rsidP="00C26BA7" w:rsidRDefault="00EB19E1" w14:paraId="0EBCBB71" w14:textId="77777777">
            <w:pPr>
              <w:pStyle w:val="ListParagraph"/>
              <w:ind w:left="0"/>
            </w:pPr>
          </w:p>
          <w:p w:rsidR="00EB19E1" w:rsidP="00C26BA7" w:rsidRDefault="00EB19E1" w14:paraId="3A107799" w14:textId="01A0BE9A">
            <w:pPr>
              <w:pStyle w:val="ListParagraph"/>
              <w:ind w:left="0"/>
            </w:pPr>
          </w:p>
        </w:tc>
      </w:tr>
      <w:tr w:rsidR="00EB19E1" w:rsidTr="00EB19E1" w14:paraId="50D20C88" w14:textId="77777777">
        <w:tc>
          <w:tcPr>
            <w:tcW w:w="4508" w:type="dxa"/>
          </w:tcPr>
          <w:p w:rsidR="00EB19E1" w:rsidP="00C26BA7" w:rsidRDefault="00EB19E1" w14:paraId="53740941" w14:textId="77777777">
            <w:pPr>
              <w:pStyle w:val="ListParagraph"/>
              <w:ind w:left="0"/>
            </w:pPr>
            <w:r>
              <w:t>Signed:</w:t>
            </w:r>
          </w:p>
          <w:p w:rsidR="00EB19E1" w:rsidP="00C26BA7" w:rsidRDefault="00EB19E1" w14:paraId="350FB938" w14:textId="77777777">
            <w:pPr>
              <w:pStyle w:val="ListParagraph"/>
              <w:ind w:left="0"/>
            </w:pPr>
          </w:p>
          <w:p w:rsidR="00EB19E1" w:rsidP="00C26BA7" w:rsidRDefault="00EB19E1" w14:paraId="090F7DA4" w14:textId="2593E047">
            <w:pPr>
              <w:pStyle w:val="ListParagraph"/>
              <w:ind w:left="0"/>
            </w:pPr>
          </w:p>
        </w:tc>
        <w:tc>
          <w:tcPr>
            <w:tcW w:w="4508" w:type="dxa"/>
          </w:tcPr>
          <w:p w:rsidR="00EB19E1" w:rsidP="00C26BA7" w:rsidRDefault="00EB19E1" w14:paraId="3253B84C" w14:textId="4C20CE6A">
            <w:pPr>
              <w:pStyle w:val="ListParagraph"/>
              <w:ind w:left="0"/>
            </w:pPr>
            <w:r>
              <w:t>Dated:</w:t>
            </w:r>
          </w:p>
        </w:tc>
      </w:tr>
      <w:tr w:rsidR="00EB19E1" w:rsidTr="00EB19E1" w14:paraId="618D06D9" w14:textId="77777777">
        <w:tc>
          <w:tcPr>
            <w:tcW w:w="9016" w:type="dxa"/>
            <w:gridSpan w:val="2"/>
          </w:tcPr>
          <w:p w:rsidR="00EB19E1" w:rsidP="00C26BA7" w:rsidRDefault="00EB19E1" w14:paraId="44A3F8CF" w14:textId="77777777">
            <w:pPr>
              <w:pStyle w:val="ListParagraph"/>
              <w:ind w:left="0"/>
            </w:pPr>
          </w:p>
        </w:tc>
      </w:tr>
      <w:tr w:rsidR="00EB19E1" w:rsidTr="00EB19E1" w14:paraId="66642CA7" w14:textId="77777777">
        <w:tc>
          <w:tcPr>
            <w:tcW w:w="9016" w:type="dxa"/>
            <w:gridSpan w:val="2"/>
          </w:tcPr>
          <w:p w:rsidRPr="00D453FC" w:rsidR="00EB19E1" w:rsidP="00C26BA7" w:rsidRDefault="00D453FC" w14:paraId="51E0BD58" w14:textId="77777777">
            <w:pPr>
              <w:pStyle w:val="ListParagraph"/>
              <w:ind w:left="0"/>
              <w:rPr>
                <w:b/>
                <w:bCs/>
              </w:rPr>
            </w:pPr>
            <w:r w:rsidRPr="00D453FC">
              <w:rPr>
                <w:b/>
                <w:bCs/>
              </w:rPr>
              <w:t>Please do not discuss the content of this report with anyone you believe to be involved in the suspected money laundering activity described</w:t>
            </w:r>
          </w:p>
          <w:p w:rsidRPr="00D453FC" w:rsidR="00D453FC" w:rsidP="00C26BA7" w:rsidRDefault="00D453FC" w14:paraId="7A4C9103" w14:textId="35CCAB8A">
            <w:pPr>
              <w:pStyle w:val="ListParagraph"/>
              <w:ind w:left="0"/>
              <w:rPr>
                <w:b/>
                <w:bCs/>
              </w:rPr>
            </w:pPr>
          </w:p>
        </w:tc>
      </w:tr>
    </w:tbl>
    <w:p w:rsidR="00EE453A" w:rsidP="00C26BA7" w:rsidRDefault="00EE453A" w14:paraId="412E11E7" w14:textId="5E52A501">
      <w:pPr>
        <w:pStyle w:val="ListParagraph"/>
      </w:pPr>
    </w:p>
    <w:tbl>
      <w:tblPr>
        <w:tblStyle w:val="TableGrid"/>
        <w:tblW w:w="0" w:type="auto"/>
        <w:tblInd w:w="720" w:type="dxa"/>
        <w:tblLook w:val="04A0" w:firstRow="1" w:lastRow="0" w:firstColumn="1" w:lastColumn="0" w:noHBand="0" w:noVBand="1"/>
      </w:tblPr>
      <w:tblGrid>
        <w:gridCol w:w="8296"/>
      </w:tblGrid>
      <w:tr w:rsidR="00D453FC" w:rsidTr="00D453FC" w14:paraId="16B1AEEF" w14:textId="77777777">
        <w:tc>
          <w:tcPr>
            <w:tcW w:w="9016" w:type="dxa"/>
          </w:tcPr>
          <w:p w:rsidRPr="00D453FC" w:rsidR="00D453FC" w:rsidP="00D453FC" w:rsidRDefault="00D453FC" w14:paraId="2C06A9ED" w14:textId="6EC4DD0E">
            <w:pPr>
              <w:pStyle w:val="ListParagraph"/>
              <w:ind w:left="0"/>
              <w:jc w:val="center"/>
              <w:rPr>
                <w:b/>
                <w:bCs/>
              </w:rPr>
            </w:pPr>
            <w:r w:rsidRPr="00D453FC">
              <w:rPr>
                <w:b/>
                <w:bCs/>
              </w:rPr>
              <w:t>This report is to be retained for at least five years</w:t>
            </w:r>
          </w:p>
        </w:tc>
      </w:tr>
    </w:tbl>
    <w:p w:rsidR="00D453FC" w:rsidP="00E841F1" w:rsidRDefault="00D453FC" w14:paraId="60CE4055" w14:textId="6386EBD9"/>
    <w:p w:rsidR="00D453FC" w:rsidP="00C26BA7" w:rsidRDefault="00D453FC" w14:paraId="4A12BE0C" w14:textId="49743911">
      <w:pPr>
        <w:pStyle w:val="ListParagraph"/>
      </w:pPr>
    </w:p>
    <w:p w:rsidR="00E841F1" w:rsidP="00C26BA7" w:rsidRDefault="00E841F1" w14:paraId="0ABE2B6D" w14:textId="3C94BDCE">
      <w:pPr>
        <w:pStyle w:val="ListParagraph"/>
      </w:pPr>
    </w:p>
    <w:p w:rsidR="00E841F1" w:rsidP="00C26BA7" w:rsidRDefault="00E841F1" w14:paraId="31424D12" w14:textId="57937F15">
      <w:pPr>
        <w:pStyle w:val="ListParagraph"/>
      </w:pPr>
    </w:p>
    <w:p w:rsidR="00E841F1" w:rsidP="00C26BA7" w:rsidRDefault="00E841F1" w14:paraId="507F36C6" w14:textId="3B652438">
      <w:pPr>
        <w:pStyle w:val="ListParagraph"/>
      </w:pPr>
    </w:p>
    <w:p w:rsidR="00E841F1" w:rsidP="00C26BA7" w:rsidRDefault="00E841F1" w14:paraId="322B4D77" w14:textId="77777777">
      <w:pPr>
        <w:pStyle w:val="ListParagraph"/>
      </w:pPr>
    </w:p>
    <w:tbl>
      <w:tblPr>
        <w:tblStyle w:val="TableGrid"/>
        <w:tblW w:w="0" w:type="auto"/>
        <w:tblInd w:w="720" w:type="dxa"/>
        <w:tblLook w:val="04A0" w:firstRow="1" w:lastRow="0" w:firstColumn="1" w:lastColumn="0" w:noHBand="0" w:noVBand="1"/>
      </w:tblPr>
      <w:tblGrid>
        <w:gridCol w:w="3801"/>
        <w:gridCol w:w="347"/>
        <w:gridCol w:w="4148"/>
      </w:tblGrid>
      <w:tr w:rsidR="00D453FC" w:rsidTr="00D453FC" w14:paraId="30583657" w14:textId="77777777">
        <w:tc>
          <w:tcPr>
            <w:tcW w:w="8296" w:type="dxa"/>
            <w:gridSpan w:val="3"/>
            <w:shd w:val="clear" w:color="auto" w:fill="C9C9C9" w:themeFill="accent3" w:themeFillTint="99"/>
          </w:tcPr>
          <w:p w:rsidR="00D453FC" w:rsidP="00D453FC" w:rsidRDefault="00D453FC" w14:paraId="1078E734" w14:textId="25DD4DF7">
            <w:pPr>
              <w:pStyle w:val="ListParagraph"/>
              <w:shd w:val="clear" w:color="auto" w:fill="C9C9C9" w:themeFill="accent3" w:themeFillTint="99"/>
              <w:ind w:left="0"/>
              <w:jc w:val="center"/>
              <w:rPr>
                <w:b/>
                <w:bCs/>
              </w:rPr>
            </w:pPr>
            <w:r w:rsidRPr="00D453FC">
              <w:rPr>
                <w:b/>
                <w:bCs/>
              </w:rPr>
              <w:t>MLRO Report (to be completed by MLRO</w:t>
            </w:r>
            <w:r>
              <w:rPr>
                <w:b/>
                <w:bCs/>
              </w:rPr>
              <w:t>)</w:t>
            </w:r>
          </w:p>
          <w:p w:rsidR="00D453FC" w:rsidP="00D453FC" w:rsidRDefault="00D453FC" w14:paraId="3604D1A0" w14:textId="71EAB93E">
            <w:pPr>
              <w:pStyle w:val="ListParagraph"/>
              <w:shd w:val="clear" w:color="auto" w:fill="C9C9C9" w:themeFill="accent3" w:themeFillTint="99"/>
              <w:ind w:left="0"/>
              <w:jc w:val="center"/>
              <w:rPr>
                <w:b/>
                <w:bCs/>
              </w:rPr>
            </w:pPr>
          </w:p>
          <w:p w:rsidR="00D453FC" w:rsidP="00D453FC" w:rsidRDefault="00D453FC" w14:paraId="66B106A1" w14:textId="1D819D36">
            <w:pPr>
              <w:pStyle w:val="ListParagraph"/>
              <w:ind w:left="0"/>
            </w:pPr>
          </w:p>
        </w:tc>
      </w:tr>
      <w:tr w:rsidR="00D453FC" w:rsidTr="00F47DC1" w14:paraId="28ED9462" w14:textId="77777777">
        <w:tc>
          <w:tcPr>
            <w:tcW w:w="3801" w:type="dxa"/>
          </w:tcPr>
          <w:p w:rsidR="00D453FC" w:rsidP="00C26BA7" w:rsidRDefault="00D453FC" w14:paraId="0641898B" w14:textId="6E124376">
            <w:pPr>
              <w:pStyle w:val="ListParagraph"/>
              <w:ind w:left="0"/>
            </w:pPr>
            <w:r>
              <w:t>Date Report Received:</w:t>
            </w:r>
          </w:p>
          <w:p w:rsidR="00D453FC" w:rsidP="00C26BA7" w:rsidRDefault="00D453FC" w14:paraId="70BF1840" w14:textId="77777777">
            <w:pPr>
              <w:pStyle w:val="ListParagraph"/>
              <w:ind w:left="0"/>
            </w:pPr>
          </w:p>
          <w:p w:rsidR="00D453FC" w:rsidP="00C26BA7" w:rsidRDefault="00D453FC" w14:paraId="61DADA5F" w14:textId="1B463DD7">
            <w:pPr>
              <w:pStyle w:val="ListParagraph"/>
              <w:ind w:left="0"/>
            </w:pPr>
          </w:p>
        </w:tc>
        <w:tc>
          <w:tcPr>
            <w:tcW w:w="4495" w:type="dxa"/>
            <w:gridSpan w:val="2"/>
          </w:tcPr>
          <w:p w:rsidR="00D453FC" w:rsidP="00C26BA7" w:rsidRDefault="00D453FC" w14:paraId="43297801" w14:textId="2CCC10C9">
            <w:pPr>
              <w:pStyle w:val="ListParagraph"/>
              <w:ind w:left="0"/>
            </w:pPr>
            <w:r>
              <w:t>Date Report acknowledged:</w:t>
            </w:r>
          </w:p>
        </w:tc>
      </w:tr>
      <w:tr w:rsidR="00D453FC" w:rsidTr="00D453FC" w14:paraId="7C845946" w14:textId="77777777">
        <w:tc>
          <w:tcPr>
            <w:tcW w:w="8296" w:type="dxa"/>
            <w:gridSpan w:val="3"/>
          </w:tcPr>
          <w:p w:rsidR="00D453FC" w:rsidP="00C26BA7" w:rsidRDefault="00D453FC" w14:paraId="1654D903" w14:textId="77777777">
            <w:pPr>
              <w:pStyle w:val="ListParagraph"/>
              <w:ind w:left="0"/>
            </w:pPr>
            <w:r>
              <w:t>Details of Disclosure:</w:t>
            </w:r>
          </w:p>
          <w:p w:rsidR="00D453FC" w:rsidP="00C26BA7" w:rsidRDefault="00D453FC" w14:paraId="778E8DC4" w14:textId="77777777">
            <w:pPr>
              <w:pStyle w:val="ListParagraph"/>
              <w:ind w:left="0"/>
            </w:pPr>
          </w:p>
          <w:p w:rsidR="00D453FC" w:rsidP="00C26BA7" w:rsidRDefault="00D453FC" w14:paraId="11F452E0" w14:textId="77777777">
            <w:pPr>
              <w:pStyle w:val="ListParagraph"/>
              <w:ind w:left="0"/>
            </w:pPr>
          </w:p>
          <w:p w:rsidR="00D453FC" w:rsidP="00C26BA7" w:rsidRDefault="00D453FC" w14:paraId="02809B34" w14:textId="77777777">
            <w:pPr>
              <w:pStyle w:val="ListParagraph"/>
              <w:ind w:left="0"/>
            </w:pPr>
          </w:p>
          <w:p w:rsidR="00D453FC" w:rsidP="00C26BA7" w:rsidRDefault="00D453FC" w14:paraId="0C8F2AF8" w14:textId="77777777">
            <w:pPr>
              <w:pStyle w:val="ListParagraph"/>
              <w:ind w:left="0"/>
            </w:pPr>
          </w:p>
          <w:p w:rsidR="00D453FC" w:rsidP="00C26BA7" w:rsidRDefault="00D453FC" w14:paraId="49F61900" w14:textId="77777777">
            <w:pPr>
              <w:pStyle w:val="ListParagraph"/>
              <w:ind w:left="0"/>
            </w:pPr>
          </w:p>
          <w:p w:rsidR="00D453FC" w:rsidP="00C26BA7" w:rsidRDefault="00D453FC" w14:paraId="418B7677" w14:textId="77777777">
            <w:pPr>
              <w:pStyle w:val="ListParagraph"/>
              <w:ind w:left="0"/>
            </w:pPr>
          </w:p>
          <w:p w:rsidR="00D453FC" w:rsidP="00C26BA7" w:rsidRDefault="00D453FC" w14:paraId="7B4277DC" w14:textId="77777777">
            <w:pPr>
              <w:pStyle w:val="ListParagraph"/>
              <w:ind w:left="0"/>
            </w:pPr>
          </w:p>
          <w:p w:rsidR="00D453FC" w:rsidP="00C26BA7" w:rsidRDefault="00D453FC" w14:paraId="3D623B29" w14:textId="1E4C96D0">
            <w:pPr>
              <w:pStyle w:val="ListParagraph"/>
              <w:ind w:left="0"/>
            </w:pPr>
          </w:p>
        </w:tc>
      </w:tr>
      <w:tr w:rsidR="00D453FC" w:rsidTr="00F47DC1" w14:paraId="45107012" w14:textId="77777777">
        <w:tc>
          <w:tcPr>
            <w:tcW w:w="8296" w:type="dxa"/>
            <w:gridSpan w:val="3"/>
          </w:tcPr>
          <w:p w:rsidR="00D453FC" w:rsidP="00C26BA7" w:rsidRDefault="00D453FC" w14:paraId="1A361464" w14:textId="77777777">
            <w:pPr>
              <w:pStyle w:val="ListParagraph"/>
              <w:ind w:left="0"/>
            </w:pPr>
          </w:p>
          <w:p w:rsidR="00D453FC" w:rsidP="00C26BA7" w:rsidRDefault="00D453FC" w14:paraId="5A6B4D32" w14:textId="095EF051">
            <w:pPr>
              <w:pStyle w:val="ListParagraph"/>
              <w:ind w:left="0"/>
            </w:pPr>
            <w:r>
              <w:t>Are there reasonable grounds for suspecting money laundering activity? YES / NO</w:t>
            </w:r>
          </w:p>
          <w:p w:rsidR="00D453FC" w:rsidP="00C26BA7" w:rsidRDefault="00D453FC" w14:paraId="69859776" w14:textId="0BE6A3A6">
            <w:pPr>
              <w:pStyle w:val="ListParagraph"/>
              <w:ind w:left="0"/>
            </w:pPr>
          </w:p>
        </w:tc>
      </w:tr>
      <w:tr w:rsidR="00D453FC" w:rsidTr="00F47DC1" w14:paraId="29BCB6F3" w14:textId="77777777">
        <w:tc>
          <w:tcPr>
            <w:tcW w:w="8296" w:type="dxa"/>
            <w:gridSpan w:val="3"/>
          </w:tcPr>
          <w:p w:rsidR="00F47DC1" w:rsidP="00C26BA7" w:rsidRDefault="00F47DC1" w14:paraId="26B8D639" w14:textId="77777777">
            <w:pPr>
              <w:pStyle w:val="ListParagraph"/>
              <w:ind w:left="0"/>
            </w:pPr>
          </w:p>
          <w:p w:rsidR="00D453FC" w:rsidP="00C26BA7" w:rsidRDefault="00F47DC1" w14:paraId="1126710F" w14:textId="77777777">
            <w:pPr>
              <w:pStyle w:val="ListParagraph"/>
              <w:ind w:left="0"/>
            </w:pPr>
            <w:r>
              <w:t>If there are reasonable grounds for suspicion, will a report be made to the NCA? YES / NO</w:t>
            </w:r>
          </w:p>
          <w:p w:rsidR="00F47DC1" w:rsidP="00C26BA7" w:rsidRDefault="00F47DC1" w14:paraId="22A83317" w14:textId="3E139ACD">
            <w:pPr>
              <w:pStyle w:val="ListParagraph"/>
              <w:ind w:left="0"/>
            </w:pPr>
          </w:p>
        </w:tc>
      </w:tr>
      <w:tr w:rsidR="00D453FC" w:rsidTr="00F47DC1" w14:paraId="299E585A" w14:textId="77777777">
        <w:tc>
          <w:tcPr>
            <w:tcW w:w="8296" w:type="dxa"/>
            <w:gridSpan w:val="3"/>
          </w:tcPr>
          <w:p w:rsidR="00D453FC" w:rsidP="00C26BA7" w:rsidRDefault="00D453FC" w14:paraId="4FC131C9" w14:textId="77777777">
            <w:pPr>
              <w:pStyle w:val="ListParagraph"/>
              <w:ind w:left="0"/>
            </w:pPr>
          </w:p>
          <w:p w:rsidR="00F47DC1" w:rsidP="00C26BA7" w:rsidRDefault="00F47DC1" w14:paraId="2020DCAA" w14:textId="77777777">
            <w:pPr>
              <w:pStyle w:val="ListParagraph"/>
              <w:ind w:left="0"/>
            </w:pPr>
            <w:r>
              <w:t>If yes, please record the date of report to the NCA:</w:t>
            </w:r>
          </w:p>
          <w:p w:rsidR="00F47DC1" w:rsidP="00C26BA7" w:rsidRDefault="00F47DC1" w14:paraId="47C34797" w14:textId="5FA03512">
            <w:pPr>
              <w:pStyle w:val="ListParagraph"/>
              <w:ind w:left="0"/>
            </w:pPr>
          </w:p>
        </w:tc>
      </w:tr>
      <w:tr w:rsidR="00D453FC" w:rsidTr="00F47DC1" w14:paraId="18D8AE69" w14:textId="77777777">
        <w:tc>
          <w:tcPr>
            <w:tcW w:w="8296" w:type="dxa"/>
            <w:gridSpan w:val="3"/>
          </w:tcPr>
          <w:p w:rsidR="00F47DC1" w:rsidP="00C26BA7" w:rsidRDefault="00F47DC1" w14:paraId="0CAB92EB" w14:textId="77777777">
            <w:pPr>
              <w:pStyle w:val="ListParagraph"/>
              <w:ind w:left="0"/>
            </w:pPr>
            <w:r>
              <w:t xml:space="preserve">If consent required from the NCA to proceed with a potentially suspicious transaction? YES / NO </w:t>
            </w:r>
          </w:p>
          <w:p w:rsidR="00F47DC1" w:rsidP="00C26BA7" w:rsidRDefault="00F47DC1" w14:paraId="246953A7" w14:textId="77777777">
            <w:pPr>
              <w:pStyle w:val="ListParagraph"/>
              <w:ind w:left="0"/>
            </w:pPr>
          </w:p>
          <w:p w:rsidR="00F47DC1" w:rsidP="00C26BA7" w:rsidRDefault="00F47DC1" w14:paraId="46009767" w14:textId="2D2FF8D2">
            <w:pPr>
              <w:pStyle w:val="ListParagraph"/>
              <w:ind w:left="0"/>
            </w:pPr>
            <w:r>
              <w:t xml:space="preserve">If YES please confirm full details below: </w:t>
            </w:r>
          </w:p>
          <w:p w:rsidR="00F47DC1" w:rsidP="00C26BA7" w:rsidRDefault="00F47DC1" w14:paraId="16F8F0E0" w14:textId="673D8722">
            <w:pPr>
              <w:pStyle w:val="ListParagraph"/>
              <w:ind w:left="0"/>
            </w:pPr>
          </w:p>
          <w:p w:rsidR="00F47DC1" w:rsidP="00C26BA7" w:rsidRDefault="00F47DC1" w14:paraId="3E760150" w14:textId="77777777">
            <w:pPr>
              <w:pStyle w:val="ListParagraph"/>
              <w:ind w:left="0"/>
            </w:pPr>
          </w:p>
          <w:p w:rsidR="00D453FC" w:rsidP="00C26BA7" w:rsidRDefault="00D453FC" w14:paraId="3AB04F22" w14:textId="60D9B8C9">
            <w:pPr>
              <w:pStyle w:val="ListParagraph"/>
              <w:ind w:left="0"/>
            </w:pPr>
          </w:p>
        </w:tc>
      </w:tr>
      <w:tr w:rsidR="00F47DC1" w:rsidTr="00F47DC1" w14:paraId="7B434CB0" w14:textId="77777777">
        <w:tc>
          <w:tcPr>
            <w:tcW w:w="8296" w:type="dxa"/>
            <w:gridSpan w:val="3"/>
          </w:tcPr>
          <w:p w:rsidR="00F47DC1" w:rsidP="00C26BA7" w:rsidRDefault="00F47DC1" w14:paraId="2A8BBCCA" w14:textId="77777777">
            <w:pPr>
              <w:pStyle w:val="ListParagraph"/>
              <w:ind w:left="0"/>
            </w:pPr>
            <w:r>
              <w:t>If Suspicious Activity Report is not reportable to National Crime Agency, set out below the reasons for non-disclosure.</w:t>
            </w:r>
          </w:p>
          <w:p w:rsidR="00F47DC1" w:rsidP="00C26BA7" w:rsidRDefault="00F47DC1" w14:paraId="35BC9CCD" w14:textId="77777777">
            <w:pPr>
              <w:pStyle w:val="ListParagraph"/>
              <w:ind w:left="0"/>
            </w:pPr>
          </w:p>
          <w:p w:rsidR="00F47DC1" w:rsidP="00C26BA7" w:rsidRDefault="00F47DC1" w14:paraId="46D5697C" w14:textId="77777777">
            <w:pPr>
              <w:pStyle w:val="ListParagraph"/>
              <w:ind w:left="0"/>
            </w:pPr>
          </w:p>
          <w:p w:rsidR="00F47DC1" w:rsidP="00C26BA7" w:rsidRDefault="00F47DC1" w14:paraId="65DA1ACE" w14:textId="1FD844D5">
            <w:pPr>
              <w:pStyle w:val="ListParagraph"/>
              <w:ind w:left="0"/>
            </w:pPr>
          </w:p>
        </w:tc>
      </w:tr>
      <w:tr w:rsidR="00F47DC1" w:rsidTr="00F47DC1" w14:paraId="7D059210" w14:textId="77777777">
        <w:tc>
          <w:tcPr>
            <w:tcW w:w="8296" w:type="dxa"/>
            <w:gridSpan w:val="3"/>
          </w:tcPr>
          <w:p w:rsidR="00F47DC1" w:rsidP="00C26BA7" w:rsidRDefault="00F47DC1" w14:paraId="611AC308" w14:textId="77777777">
            <w:pPr>
              <w:pStyle w:val="ListParagraph"/>
              <w:ind w:left="0"/>
            </w:pPr>
            <w:r>
              <w:t>Please record any other relevant information here:</w:t>
            </w:r>
          </w:p>
          <w:p w:rsidR="00F47DC1" w:rsidP="00C26BA7" w:rsidRDefault="00F47DC1" w14:paraId="0433A5FA" w14:textId="77777777">
            <w:pPr>
              <w:pStyle w:val="ListParagraph"/>
              <w:ind w:left="0"/>
            </w:pPr>
          </w:p>
          <w:p w:rsidR="00F47DC1" w:rsidP="00C26BA7" w:rsidRDefault="00F47DC1" w14:paraId="7669AA19" w14:textId="77777777">
            <w:pPr>
              <w:pStyle w:val="ListParagraph"/>
              <w:ind w:left="0"/>
            </w:pPr>
          </w:p>
          <w:p w:rsidR="00F47DC1" w:rsidP="00C26BA7" w:rsidRDefault="00F47DC1" w14:paraId="5FE205CE" w14:textId="4C7317ED">
            <w:pPr>
              <w:pStyle w:val="ListParagraph"/>
              <w:ind w:left="0"/>
            </w:pPr>
          </w:p>
        </w:tc>
      </w:tr>
      <w:tr w:rsidR="00F47DC1" w:rsidTr="00824BA5" w14:paraId="6DB3B29C" w14:textId="77777777">
        <w:tc>
          <w:tcPr>
            <w:tcW w:w="4148" w:type="dxa"/>
            <w:gridSpan w:val="2"/>
          </w:tcPr>
          <w:p w:rsidR="00F47DC1" w:rsidP="00C26BA7" w:rsidRDefault="00F47DC1" w14:paraId="56055B39" w14:textId="77777777">
            <w:pPr>
              <w:pStyle w:val="ListParagraph"/>
              <w:ind w:left="0"/>
            </w:pPr>
            <w:r>
              <w:t>Signed:</w:t>
            </w:r>
          </w:p>
          <w:p w:rsidR="00F47DC1" w:rsidP="009174EA" w:rsidRDefault="00F47DC1" w14:paraId="6777252A" w14:textId="77777777">
            <w:pPr>
              <w:pStyle w:val="ListParagraph"/>
              <w:ind w:left="0"/>
            </w:pPr>
          </w:p>
          <w:p w:rsidR="009174EA" w:rsidP="009174EA" w:rsidRDefault="009174EA" w14:paraId="450C791A" w14:textId="136A1367">
            <w:pPr>
              <w:pStyle w:val="ListParagraph"/>
              <w:ind w:left="0"/>
            </w:pPr>
          </w:p>
        </w:tc>
        <w:tc>
          <w:tcPr>
            <w:tcW w:w="4148" w:type="dxa"/>
          </w:tcPr>
          <w:p w:rsidR="00F47DC1" w:rsidP="00C26BA7" w:rsidRDefault="00F47DC1" w14:paraId="40A79C93" w14:textId="77777777">
            <w:pPr>
              <w:pStyle w:val="ListParagraph"/>
              <w:ind w:left="0"/>
            </w:pPr>
            <w:r>
              <w:t>Dated:</w:t>
            </w:r>
          </w:p>
          <w:p w:rsidR="00F47DC1" w:rsidP="00C26BA7" w:rsidRDefault="00F47DC1" w14:paraId="59C17509" w14:textId="1D64D762">
            <w:pPr>
              <w:pStyle w:val="ListParagraph"/>
              <w:ind w:left="0"/>
            </w:pPr>
          </w:p>
        </w:tc>
      </w:tr>
    </w:tbl>
    <w:p w:rsidR="00D453FC" w:rsidP="00C26BA7" w:rsidRDefault="00D453FC" w14:paraId="5B47865F" w14:textId="03E5A6C3">
      <w:pPr>
        <w:pStyle w:val="ListParagraph"/>
      </w:pPr>
    </w:p>
    <w:p w:rsidR="00514E32" w:rsidP="00514E32" w:rsidRDefault="00514E32" w14:paraId="2558FCB2" w14:textId="77777777">
      <w:pPr>
        <w:pStyle w:val="ListParagraph"/>
      </w:pPr>
    </w:p>
    <w:tbl>
      <w:tblPr>
        <w:tblStyle w:val="TableGrid"/>
        <w:tblW w:w="0" w:type="auto"/>
        <w:tblInd w:w="720" w:type="dxa"/>
        <w:tblLook w:val="04A0" w:firstRow="1" w:lastRow="0" w:firstColumn="1" w:lastColumn="0" w:noHBand="0" w:noVBand="1"/>
      </w:tblPr>
      <w:tblGrid>
        <w:gridCol w:w="8296"/>
      </w:tblGrid>
      <w:tr w:rsidR="00514E32" w:rsidTr="00375295" w14:paraId="5EDF5552" w14:textId="77777777">
        <w:tc>
          <w:tcPr>
            <w:tcW w:w="9016" w:type="dxa"/>
          </w:tcPr>
          <w:p w:rsidRPr="00D453FC" w:rsidR="00514E32" w:rsidP="00375295" w:rsidRDefault="00514E32" w14:paraId="61E30FBB" w14:textId="77777777">
            <w:pPr>
              <w:pStyle w:val="ListParagraph"/>
              <w:ind w:left="0"/>
              <w:jc w:val="center"/>
              <w:rPr>
                <w:b/>
                <w:bCs/>
              </w:rPr>
            </w:pPr>
            <w:r w:rsidRPr="00D453FC">
              <w:rPr>
                <w:b/>
                <w:bCs/>
              </w:rPr>
              <w:t>This report is to be retained for at least five years</w:t>
            </w:r>
          </w:p>
        </w:tc>
      </w:tr>
    </w:tbl>
    <w:p w:rsidR="00514E32" w:rsidP="009174EA" w:rsidRDefault="00514E32" w14:paraId="1C3B2DCE" w14:textId="77777777"/>
    <w:sectPr w:rsidR="00514E32">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27D" w:rsidP="00DD5FEC" w:rsidRDefault="0064027D" w14:paraId="1309FD9B" w14:textId="77777777">
      <w:pPr>
        <w:spacing w:after="0" w:line="240" w:lineRule="auto"/>
      </w:pPr>
      <w:r>
        <w:separator/>
      </w:r>
    </w:p>
  </w:endnote>
  <w:endnote w:type="continuationSeparator" w:id="0">
    <w:p w:rsidR="0064027D" w:rsidP="00DD5FEC" w:rsidRDefault="0064027D" w14:paraId="660040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FEC" w:rsidRDefault="00DD5FEC" w14:paraId="6CEF692C" w14:textId="52F62D51">
    <w:pPr>
      <w:pStyle w:val="Footer"/>
    </w:pPr>
    <w:r>
      <w:t xml:space="preserve">Updated </w:t>
    </w:r>
    <w:r w:rsidR="004B4C98">
      <w:t>May</w:t>
    </w:r>
    <w:r>
      <w:t xml:space="preserve"> 2022</w:t>
    </w:r>
  </w:p>
  <w:p w:rsidR="00DD5FEC" w:rsidRDefault="00DD5FEC" w14:paraId="4304DC28" w14:textId="77777777">
    <w:pPr>
      <w:pStyle w:val="Footer"/>
    </w:pPr>
  </w:p>
  <w:p w:rsidR="00DD5FEC" w:rsidRDefault="00DD5FEC" w14:paraId="1A8E79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27D" w:rsidP="00DD5FEC" w:rsidRDefault="0064027D" w14:paraId="13B41324" w14:textId="77777777">
      <w:pPr>
        <w:spacing w:after="0" w:line="240" w:lineRule="auto"/>
      </w:pPr>
      <w:r>
        <w:separator/>
      </w:r>
    </w:p>
  </w:footnote>
  <w:footnote w:type="continuationSeparator" w:id="0">
    <w:p w:rsidR="0064027D" w:rsidP="00DD5FEC" w:rsidRDefault="0064027D" w14:paraId="3902040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21E"/>
    <w:multiLevelType w:val="hybridMultilevel"/>
    <w:tmpl w:val="B798EF0E"/>
    <w:lvl w:ilvl="0" w:tplc="9CDC1B38">
      <w:start w:val="1"/>
      <w:numFmt w:val="lowerLetter"/>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11A0804"/>
    <w:multiLevelType w:val="hybridMultilevel"/>
    <w:tmpl w:val="B3E02EF4"/>
    <w:lvl w:ilvl="0" w:tplc="9CDC1B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473ECB"/>
    <w:multiLevelType w:val="hybridMultilevel"/>
    <w:tmpl w:val="EB1C1F8C"/>
    <w:lvl w:ilvl="0" w:tplc="5FDC0E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877AEE"/>
    <w:multiLevelType w:val="hybridMultilevel"/>
    <w:tmpl w:val="4F0600C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7DED404E"/>
    <w:multiLevelType w:val="hybridMultilevel"/>
    <w:tmpl w:val="6E4E2808"/>
    <w:lvl w:ilvl="0" w:tplc="9CDC1B38">
      <w:start w:val="1"/>
      <w:numFmt w:val="lowerLetter"/>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85583367">
    <w:abstractNumId w:val="2"/>
  </w:num>
  <w:num w:numId="2" w16cid:durableId="1759325672">
    <w:abstractNumId w:val="3"/>
  </w:num>
  <w:num w:numId="3" w16cid:durableId="162358910">
    <w:abstractNumId w:val="1"/>
  </w:num>
  <w:num w:numId="4" w16cid:durableId="2009018701">
    <w:abstractNumId w:val="0"/>
  </w:num>
  <w:num w:numId="5" w16cid:durableId="75432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EC"/>
    <w:rsid w:val="000044BC"/>
    <w:rsid w:val="000075FF"/>
    <w:rsid w:val="00046729"/>
    <w:rsid w:val="0006094A"/>
    <w:rsid w:val="00066AD0"/>
    <w:rsid w:val="00075A14"/>
    <w:rsid w:val="000E635D"/>
    <w:rsid w:val="00181FED"/>
    <w:rsid w:val="001D3403"/>
    <w:rsid w:val="0020404C"/>
    <w:rsid w:val="00247009"/>
    <w:rsid w:val="00253DC0"/>
    <w:rsid w:val="00283A68"/>
    <w:rsid w:val="00286A73"/>
    <w:rsid w:val="002A4414"/>
    <w:rsid w:val="002B3288"/>
    <w:rsid w:val="002B6C6E"/>
    <w:rsid w:val="00312E5B"/>
    <w:rsid w:val="00333275"/>
    <w:rsid w:val="00335F21"/>
    <w:rsid w:val="003542B4"/>
    <w:rsid w:val="003A3C94"/>
    <w:rsid w:val="003D2728"/>
    <w:rsid w:val="003F0320"/>
    <w:rsid w:val="00430CDC"/>
    <w:rsid w:val="00454BDA"/>
    <w:rsid w:val="004B4C98"/>
    <w:rsid w:val="004E0DBA"/>
    <w:rsid w:val="00514E32"/>
    <w:rsid w:val="005712A8"/>
    <w:rsid w:val="005730DB"/>
    <w:rsid w:val="00580B9A"/>
    <w:rsid w:val="00584051"/>
    <w:rsid w:val="005E4A7B"/>
    <w:rsid w:val="005F4647"/>
    <w:rsid w:val="0064027D"/>
    <w:rsid w:val="006F1D7C"/>
    <w:rsid w:val="00793011"/>
    <w:rsid w:val="007A1042"/>
    <w:rsid w:val="007D70BC"/>
    <w:rsid w:val="00827868"/>
    <w:rsid w:val="008C3AE0"/>
    <w:rsid w:val="009174EA"/>
    <w:rsid w:val="0093002D"/>
    <w:rsid w:val="009475E5"/>
    <w:rsid w:val="009521D0"/>
    <w:rsid w:val="00954D7F"/>
    <w:rsid w:val="00955983"/>
    <w:rsid w:val="009A5A0E"/>
    <w:rsid w:val="009B25A5"/>
    <w:rsid w:val="009C26E1"/>
    <w:rsid w:val="00AA4E2A"/>
    <w:rsid w:val="00B12362"/>
    <w:rsid w:val="00B34F70"/>
    <w:rsid w:val="00B80416"/>
    <w:rsid w:val="00BC10A9"/>
    <w:rsid w:val="00BD6962"/>
    <w:rsid w:val="00C26BA7"/>
    <w:rsid w:val="00C31A7F"/>
    <w:rsid w:val="00CC724C"/>
    <w:rsid w:val="00CE1248"/>
    <w:rsid w:val="00D453FC"/>
    <w:rsid w:val="00D50A01"/>
    <w:rsid w:val="00D679B9"/>
    <w:rsid w:val="00D85B4C"/>
    <w:rsid w:val="00DB707A"/>
    <w:rsid w:val="00DD5FEC"/>
    <w:rsid w:val="00E6035C"/>
    <w:rsid w:val="00E841F1"/>
    <w:rsid w:val="00E84E06"/>
    <w:rsid w:val="00EA318B"/>
    <w:rsid w:val="00EA3950"/>
    <w:rsid w:val="00EB19E1"/>
    <w:rsid w:val="00EE453A"/>
    <w:rsid w:val="00F37713"/>
    <w:rsid w:val="00F47DC1"/>
    <w:rsid w:val="00F6046C"/>
    <w:rsid w:val="00F75D69"/>
    <w:rsid w:val="07AD3C2D"/>
    <w:rsid w:val="5F1F231F"/>
    <w:rsid w:val="7B988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F729"/>
  <w15:chartTrackingRefBased/>
  <w15:docId w15:val="{8AA150F0-2E92-48E9-B009-8AC672B5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5F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5FEC"/>
  </w:style>
  <w:style w:type="paragraph" w:styleId="Footer">
    <w:name w:val="footer"/>
    <w:basedOn w:val="Normal"/>
    <w:link w:val="FooterChar"/>
    <w:uiPriority w:val="99"/>
    <w:unhideWhenUsed/>
    <w:rsid w:val="00DD5F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5FEC"/>
  </w:style>
  <w:style w:type="paragraph" w:styleId="ListParagraph">
    <w:name w:val="List Paragraph"/>
    <w:basedOn w:val="Normal"/>
    <w:uiPriority w:val="34"/>
    <w:qFormat/>
    <w:rsid w:val="00DD5FEC"/>
    <w:pPr>
      <w:ind w:left="720"/>
      <w:contextualSpacing/>
    </w:pPr>
  </w:style>
  <w:style w:type="character" w:styleId="Hyperlink">
    <w:name w:val="Hyperlink"/>
    <w:basedOn w:val="DefaultParagraphFont"/>
    <w:uiPriority w:val="99"/>
    <w:unhideWhenUsed/>
    <w:rsid w:val="00C26BA7"/>
    <w:rPr>
      <w:color w:val="0563C1" w:themeColor="hyperlink"/>
      <w:u w:val="single"/>
    </w:rPr>
  </w:style>
  <w:style w:type="character" w:styleId="UnresolvedMention">
    <w:name w:val="Unresolved Mention"/>
    <w:basedOn w:val="DefaultParagraphFont"/>
    <w:uiPriority w:val="99"/>
    <w:semiHidden/>
    <w:unhideWhenUsed/>
    <w:rsid w:val="00C26BA7"/>
    <w:rPr>
      <w:color w:val="605E5C"/>
      <w:shd w:val="clear" w:color="auto" w:fill="E1DFDD"/>
    </w:rPr>
  </w:style>
  <w:style w:type="table" w:styleId="TableGrid">
    <w:name w:val="Table Grid"/>
    <w:basedOn w:val="TableNormal"/>
    <w:uiPriority w:val="39"/>
    <w:rsid w:val="00EE4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E6035C"/>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itleChar" w:customStyle="1">
    <w:name w:val="Title Char"/>
    <w:basedOn w:val="DefaultParagraphFont"/>
    <w:link w:val="Title"/>
    <w:uiPriority w:val="10"/>
    <w:rsid w:val="00E6035C"/>
    <w:rPr>
      <w:rFonts w:asciiTheme="majorHAnsi" w:hAnsiTheme="majorHAnsi" w:eastAsiaTheme="majorEastAsia" w:cstheme="majorBidi"/>
      <w:caps/>
      <w:color w:val="44546A" w:themeColor="text2"/>
      <w:spacing w:val="3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tacey.arnold@startingroup.co.uk"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mailto:timothy.freeman@startingroup.co.uk" TargetMode="External" Id="rId10" /><Relationship Type="http://schemas.openxmlformats.org/officeDocument/2006/relationships/settings" Target="settings.xml" Id="rId4" /><Relationship Type="http://schemas.openxmlformats.org/officeDocument/2006/relationships/hyperlink" Target="https://www.handelsbanken.co.uk/en/individual/current-accounts-and-cards/payment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B7D715778A940808E81E5457A75B3" ma:contentTypeVersion="13" ma:contentTypeDescription="Create a new document." ma:contentTypeScope="" ma:versionID="17a8b259266887f01f4201ab5055e412">
  <xsd:schema xmlns:xsd="http://www.w3.org/2001/XMLSchema" xmlns:xs="http://www.w3.org/2001/XMLSchema" xmlns:p="http://schemas.microsoft.com/office/2006/metadata/properties" xmlns:ns2="aa535b00-0f3c-4f8c-9098-987db5744de8" xmlns:ns3="1c524b39-eb4a-4e82-adbc-057386fe85c2" targetNamespace="http://schemas.microsoft.com/office/2006/metadata/properties" ma:root="true" ma:fieldsID="17d8b37d22149c65d18d23a7622b4690" ns2:_="" ns3:_="">
    <xsd:import namespace="aa535b00-0f3c-4f8c-9098-987db5744de8"/>
    <xsd:import namespace="1c524b39-eb4a-4e82-adbc-057386fe85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35b00-0f3c-4f8c-9098-987db574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f19070-82eb-4986-90b2-2cb34f3a89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4b39-eb4a-4e82-adbc-057386fe85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49877e1-f1d4-49a9-9769-ff659a07e38a}" ma:internalName="TaxCatchAll" ma:showField="CatchAllData" ma:web="1c524b39-eb4a-4e82-adbc-057386fe8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524b39-eb4a-4e82-adbc-057386fe85c2" xsi:nil="true"/>
    <lcf76f155ced4ddcb4097134ff3c332f xmlns="aa535b00-0f3c-4f8c-9098-987db574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1CD57A-643F-4978-827D-61F5D259AA0C}">
  <ds:schemaRefs>
    <ds:schemaRef ds:uri="http://schemas.openxmlformats.org/officeDocument/2006/bibliography"/>
  </ds:schemaRefs>
</ds:datastoreItem>
</file>

<file path=customXml/itemProps2.xml><?xml version="1.0" encoding="utf-8"?>
<ds:datastoreItem xmlns:ds="http://schemas.openxmlformats.org/officeDocument/2006/customXml" ds:itemID="{394F9C3D-F65A-45D5-BFB7-E8BCDE4E0000}"/>
</file>

<file path=customXml/itemProps3.xml><?xml version="1.0" encoding="utf-8"?>
<ds:datastoreItem xmlns:ds="http://schemas.openxmlformats.org/officeDocument/2006/customXml" ds:itemID="{7DB63549-BF00-4CF1-84D5-A596C2B2EA1B}"/>
</file>

<file path=customXml/itemProps4.xml><?xml version="1.0" encoding="utf-8"?>
<ds:datastoreItem xmlns:ds="http://schemas.openxmlformats.org/officeDocument/2006/customXml" ds:itemID="{B25875BE-E240-4222-9BCE-ED657CE41F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Arnold</dc:creator>
  <cp:keywords/>
  <dc:description/>
  <cp:lastModifiedBy>Stacey Arnold FCCA</cp:lastModifiedBy>
  <cp:revision>21</cp:revision>
  <dcterms:created xsi:type="dcterms:W3CDTF">2022-04-27T21:26:00Z</dcterms:created>
  <dcterms:modified xsi:type="dcterms:W3CDTF">2023-11-16T11:21:04Z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0x010100EB2B7D715778A940808E81E5457A75B3</vt:lpwstr>
  </property>
  <property fmtid="{D5CDD505-2E9C-101B-9397-08002B2CF9AE}" pid="3" name="MediaServiceImageTags">
    <vt:lpwstr/>
  </property>
</Properties>
</file>